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  <w:t>附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  <w:t>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《烈士评定通知书》填写说明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1.20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月1日后评定为烈士的，均填发《烈士评定通知书》。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2.省级人民政府评定的烈士，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由各省级人民政府退役军人事务厅（局）统一编号、填发，上冠年份号及省份简称，号码数为6位，按照评定烈士时间由小到大依次编号。如，20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冀烈字第000001号。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退役军人事务部评定的烈士，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由褒扬纪念司统一编号、填发，上冠年份号及退役军人事务部简称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zh-CN"/>
        </w:rPr>
        <w:t>（退役），号码数为6位，按照评定烈士时间由小到大依次编号。如，20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25退役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zh-CN"/>
        </w:rPr>
        <w:t>烈字第000001号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应急管理部评定的烈士，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由队伍建设局统一编号、填发，上冠年份号、应急管理部简称（应急），号码数为6位，按照评定烈士时间由小到大依次编号。如，20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25应急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烈字第000001号。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军队评定的烈士，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由军队统一编号、烈士的评定机关填发，上冠年份号、军字，号码数为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位，第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1至2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位为各部门各单位，第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3至6位为各部门各单位所属单位，第7至12位为发放序号，按照评定烈士时间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军烈字第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010001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000001号。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3.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至少一式两份，一份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按照《烈士评定工作办法》发送至有关县级人民政府退役军人事务局，另一份归入烈士评定档案。属于《烈士评定工作办法》第二十九条、第三十条规定情形的，还应当抄送有关省级人民政府退役军人事务厅（局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全文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采取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A4纸双面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打印，正文应当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参照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党政机关公文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格式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标准，烈士信息表格内各信息项的文字采用楷体编辑。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在褒扬纪念信息管理系统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有关功能模块开发上线前，文书由发文单位自行编辑打印。功能模块上线后，文书由褒扬纪念信息管理系统自动填写生成，供各省级退役军人事务厅（局）和其他具备登录使用系统条件的发文单位下载打印。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正文中的牺牲原因按照《烈士褒扬条例》或《军人抚恤优待条例》中的评定条件填写；依据1980年《革命烈士褒扬条例》及有关规定追认的烈士，通知书的牺牲原因，按照追认条件填写。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烈士信息表格中“月基本工资”项仅适用于军队烈士，由评定烈士的军队有关单位填写，评定机关是省级人民政府、退役军人事务部或应急管理部的，不填写。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烈士信息表格中“牺牲情形简要情况”项填写内容应当言简意赅，不得涉及国家或军事秘密。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烈士信息表格中“亲属信息”项的人员范围及填写顺序为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：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烈士的父母（抚养人）、配偶、子女、兄弟姐妹。烈士亲属总人数超出表格预设行数的，可以增加序页并加盖骑缝章。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B5DE7"/>
    <w:rsid w:val="44DF67B9"/>
    <w:rsid w:val="77D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997</Words>
  <Characters>1050</Characters>
  <Lines>0</Lines>
  <Paragraphs>0</Paragraphs>
  <TotalTime>0</TotalTime>
  <ScaleCrop>false</ScaleCrop>
  <LinksUpToDate>false</LinksUpToDate>
  <CharactersWithSpaces>1050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2025-07-02T02:08:00Z</dcterms:created>
  <dc:creator>WPS_1717489222</dc:creator>
  <cp:lastModifiedBy>Administrator</cp:lastModifiedBy>
  <dcterms:modified xsi:type="dcterms:W3CDTF">2025-07-14T01:22:44Z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693872DE16814A5DBAC62D9CC4FC5C1B</vt:lpwstr>
  </property>
  <property fmtid="{D5CDD505-2E9C-101B-9397-08002B2CF9AE}" pid="4" name="KSOTemplateDocerSaveRecord">
    <vt:lpwstr>eyJoZGlkIjoiMzEwNTM5NzYwMDRjMzkwZTVkZjY2ODkwMGIxNGU0OTUiLCJ1c2VySWQiOiIxNjA0Mzk3OTIxIn0=</vt:lpwstr>
  </property>
</Properties>
</file>