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88" w:type="dxa"/>
        <w:tblInd w:w="0" w:type="dxa"/>
        <w:tblLayout w:type="fixed"/>
        <w:tblCellMar>
          <w:top w:w="0" w:type="dxa"/>
          <w:left w:w="0" w:type="dxa"/>
          <w:bottom w:w="0" w:type="dxa"/>
          <w:right w:w="0" w:type="dxa"/>
        </w:tblCellMar>
      </w:tblPr>
      <w:tblGrid>
        <w:gridCol w:w="645"/>
        <w:gridCol w:w="3263"/>
        <w:gridCol w:w="5121"/>
        <w:gridCol w:w="4959"/>
      </w:tblGrid>
      <w:tr>
        <w:tblPrEx>
          <w:tblLayout w:type="fixed"/>
          <w:tblCellMar>
            <w:top w:w="0" w:type="dxa"/>
            <w:left w:w="0" w:type="dxa"/>
            <w:bottom w:w="0" w:type="dxa"/>
            <w:right w:w="0" w:type="dxa"/>
          </w:tblCellMar>
        </w:tblPrEx>
        <w:trPr>
          <w:trHeight w:val="560" w:hRule="atLeast"/>
        </w:trPr>
        <w:tc>
          <w:tcPr>
            <w:tcW w:w="13988" w:type="dxa"/>
            <w:gridSpan w:val="4"/>
            <w:tcBorders>
              <w:top w:val="nil"/>
              <w:left w:val="nil"/>
              <w:bottom w:val="nil"/>
              <w:right w:val="nil"/>
            </w:tcBorders>
            <w:noWrap/>
            <w:tcMar>
              <w:top w:w="15" w:type="dxa"/>
              <w:left w:w="15" w:type="dxa"/>
              <w:right w:w="15" w:type="dxa"/>
            </w:tcMar>
            <w:vAlign w:val="center"/>
          </w:tcPr>
          <w:p>
            <w:pPr>
              <w:widowControl/>
              <w:jc w:val="left"/>
              <w:textAlignment w:val="center"/>
              <w:rPr>
                <w:rFonts w:ascii="黑体" w:hAnsi="宋体" w:eastAsia="黑体" w:cs="黑体"/>
                <w:color w:val="000000"/>
                <w:sz w:val="28"/>
                <w:szCs w:val="28"/>
              </w:rPr>
            </w:pPr>
            <w:r>
              <w:rPr>
                <w:rFonts w:hint="eastAsia" w:ascii="黑体" w:hAnsi="宋体" w:eastAsia="黑体" w:cs="黑体"/>
                <w:color w:val="000000"/>
                <w:kern w:val="0"/>
                <w:sz w:val="28"/>
                <w:szCs w:val="28"/>
                <w:lang w:bidi="ar"/>
              </w:rPr>
              <w:t>附件1</w:t>
            </w:r>
          </w:p>
        </w:tc>
      </w:tr>
      <w:tr>
        <w:tblPrEx>
          <w:tblLayout w:type="fixed"/>
          <w:tblCellMar>
            <w:top w:w="0" w:type="dxa"/>
            <w:left w:w="0" w:type="dxa"/>
            <w:bottom w:w="0" w:type="dxa"/>
            <w:right w:w="0" w:type="dxa"/>
          </w:tblCellMar>
        </w:tblPrEx>
        <w:trPr>
          <w:trHeight w:val="1020" w:hRule="atLeast"/>
        </w:trPr>
        <w:tc>
          <w:tcPr>
            <w:tcW w:w="13988" w:type="dxa"/>
            <w:gridSpan w:val="4"/>
            <w:tcBorders>
              <w:top w:val="nil"/>
              <w:left w:val="nil"/>
              <w:bottom w:val="nil"/>
              <w:right w:val="nil"/>
            </w:tcBorders>
            <w:noWrap/>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kern w:val="0"/>
                <w:sz w:val="44"/>
                <w:szCs w:val="44"/>
                <w:lang w:bidi="ar"/>
              </w:rPr>
              <w:t>养老机构重大风险隐患检查指标及整治建议</w:t>
            </w:r>
          </w:p>
        </w:tc>
      </w:tr>
      <w:tr>
        <w:tblPrEx>
          <w:tblLayout w:type="fixed"/>
          <w:tblCellMar>
            <w:top w:w="0" w:type="dxa"/>
            <w:left w:w="0" w:type="dxa"/>
            <w:bottom w:w="0" w:type="dxa"/>
            <w:right w:w="0" w:type="dxa"/>
          </w:tblCellMar>
        </w:tblPrEx>
        <w:trPr>
          <w:trHeight w:val="720" w:hRule="atLeast"/>
        </w:trPr>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序号</w:t>
            </w:r>
          </w:p>
        </w:tc>
        <w:tc>
          <w:tcPr>
            <w:tcW w:w="32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指标内容</w:t>
            </w:r>
          </w:p>
        </w:tc>
        <w:tc>
          <w:tcPr>
            <w:tcW w:w="51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检查细则</w:t>
            </w:r>
          </w:p>
        </w:tc>
        <w:tc>
          <w:tcPr>
            <w:tcW w:w="49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不符合指标的整治建议</w:t>
            </w:r>
          </w:p>
        </w:tc>
      </w:tr>
      <w:tr>
        <w:tblPrEx>
          <w:tblLayout w:type="fixed"/>
          <w:tblCellMar>
            <w:top w:w="0" w:type="dxa"/>
            <w:left w:w="0" w:type="dxa"/>
            <w:bottom w:w="0" w:type="dxa"/>
            <w:right w:w="0" w:type="dxa"/>
          </w:tblCellMar>
        </w:tblPrEx>
        <w:trPr>
          <w:trHeight w:val="1140" w:hRule="atLeast"/>
        </w:trPr>
        <w:tc>
          <w:tcPr>
            <w:tcW w:w="64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仿宋" w:hAnsi="仿宋" w:eastAsia="仿宋" w:cs="仿宋"/>
                <w:b/>
                <w:color w:val="000000"/>
                <w:sz w:val="24"/>
                <w:szCs w:val="24"/>
              </w:rPr>
            </w:pPr>
            <w:r>
              <w:rPr>
                <w:rFonts w:hint="eastAsia" w:ascii="仿宋" w:hAnsi="仿宋" w:eastAsia="仿宋" w:cs="仿宋"/>
                <w:b/>
                <w:color w:val="000000"/>
                <w:kern w:val="0"/>
                <w:sz w:val="24"/>
                <w:szCs w:val="24"/>
                <w:lang w:bidi="ar"/>
              </w:rPr>
              <w:t>1</w:t>
            </w:r>
          </w:p>
        </w:tc>
        <w:tc>
          <w:tcPr>
            <w:tcW w:w="3263"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提供餐饮服务的养老院，应当依法办理市场监督管理部门颁发的《食品经营许可证》。</w:t>
            </w:r>
          </w:p>
        </w:tc>
        <w:tc>
          <w:tcPr>
            <w:tcW w:w="512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自主提供餐饮服务的，不具备许可证或许可证过期的，不符合；委托餐饮服务企业提供餐饮服务的，未签订协议或餐饮服务企业不具备有效许可证，不符合。</w:t>
            </w:r>
          </w:p>
        </w:tc>
        <w:tc>
          <w:tcPr>
            <w:tcW w:w="495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1.依据市场监管部门意见整治。2.受委托餐饮服务企业不具备有效许可证的，须更换为有资质的企业。</w:t>
            </w:r>
          </w:p>
        </w:tc>
      </w:tr>
      <w:tr>
        <w:tblPrEx>
          <w:tblLayout w:type="fixed"/>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如有内设医疗机构，应取得医疗机构执业许可证。</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有内设医疗机构的，但不具备许可证或许可证过期的，不符合。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依据卫生健康部门意见整治。</w:t>
            </w:r>
          </w:p>
        </w:tc>
      </w:tr>
      <w:tr>
        <w:tblPrEx>
          <w:tblLayout w:type="fixed"/>
          <w:tblCellMar>
            <w:top w:w="0" w:type="dxa"/>
            <w:left w:w="0" w:type="dxa"/>
            <w:bottom w:w="0" w:type="dxa"/>
            <w:right w:w="0" w:type="dxa"/>
          </w:tblCellMar>
        </w:tblPrEx>
        <w:trPr>
          <w:trHeight w:val="855"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3</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养老护理员应接受岗前培训。</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有养老护理员未经过专业机构或养老机构内部培训合格上岗，不符合。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1.养老机构建立内部岗前培训制度，未经岗前培训合格的养老护理员应停止上岗。2.民政部门通过购买服务等形式支持养老护理员培训。</w:t>
            </w:r>
          </w:p>
        </w:tc>
      </w:tr>
      <w:tr>
        <w:tblPrEx>
          <w:tblLayout w:type="fixed"/>
          <w:tblCellMar>
            <w:top w:w="0" w:type="dxa"/>
            <w:left w:w="0" w:type="dxa"/>
            <w:bottom w:w="0" w:type="dxa"/>
            <w:right w:w="0" w:type="dxa"/>
          </w:tblCellMar>
        </w:tblPrEx>
        <w:trPr>
          <w:trHeight w:val="1375"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4</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在养老院内开展服务的医生、护士等依法需要持证上岗的专业技术人员应持有与其岗位相适应的专业资格证书或执业证书。</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如有此类人员，未按相应规定持证上岗，不符合。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未取得与其岗位相适应的专业资格证书或执业证书的医务人员及其他人员应按相关规定停止相关岗位工作。</w:t>
            </w:r>
          </w:p>
        </w:tc>
      </w:tr>
      <w:tr>
        <w:tblPrEx>
          <w:tblLayout w:type="fixed"/>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5</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对老年人进行入院评估，根据老年人需求特点提供服务。</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没有入院评估制度，且未开展评估工作，不符合。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养老机构依据行业标准《老年人能力评估标准》或地方相应标准建立入院评估制度。</w:t>
            </w:r>
          </w:p>
        </w:tc>
      </w:tr>
      <w:tr>
        <w:tblPrEx>
          <w:tblLayout w:type="fixed"/>
          <w:tblCellMar>
            <w:top w:w="0" w:type="dxa"/>
            <w:left w:w="0" w:type="dxa"/>
            <w:bottom w:w="0" w:type="dxa"/>
            <w:right w:w="0" w:type="dxa"/>
          </w:tblCellMar>
        </w:tblPrEx>
        <w:trPr>
          <w:trHeight w:val="786"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6</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无虐老、欺老现象。</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如有欺老、虐老现象的，不符合。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出现欺老、虐老现象的，要依法处置。</w:t>
            </w:r>
          </w:p>
        </w:tc>
      </w:tr>
      <w:tr>
        <w:tblPrEx>
          <w:tblLayout w:type="fixed"/>
          <w:tblCellMar>
            <w:top w:w="0" w:type="dxa"/>
            <w:left w:w="0" w:type="dxa"/>
            <w:bottom w:w="0" w:type="dxa"/>
            <w:right w:w="0"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7</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养老机构应当履行食品安全管理责任，食品管理应符合有关规定。</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有1项不满足，不符合。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依据市场监管部门意见整治。</w:t>
            </w:r>
          </w:p>
        </w:tc>
      </w:tr>
      <w:tr>
        <w:tblPrEx>
          <w:tblLayout w:type="fixed"/>
          <w:tblCellMar>
            <w:top w:w="0" w:type="dxa"/>
            <w:left w:w="0" w:type="dxa"/>
            <w:bottom w:w="0" w:type="dxa"/>
            <w:right w:w="0" w:type="dxa"/>
          </w:tblCellMar>
        </w:tblPrEx>
        <w:trPr>
          <w:trHeight w:val="85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8</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药品管理应符合食品药品监督管理部门规定。</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有1项不满足，不符合。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1.依据药品监管部门意见整治。2.组织相关人员培训，建立药品管理制度。</w:t>
            </w:r>
          </w:p>
        </w:tc>
      </w:tr>
      <w:tr>
        <w:tblPrEx>
          <w:tblLayout w:type="fixed"/>
          <w:tblCellMar>
            <w:top w:w="0" w:type="dxa"/>
            <w:left w:w="0" w:type="dxa"/>
            <w:bottom w:w="0" w:type="dxa"/>
            <w:right w:w="0" w:type="dxa"/>
          </w:tblCellMar>
        </w:tblPrEx>
        <w:trPr>
          <w:trHeight w:val="783"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9</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机构不设置在自然灾害易发、存在污染的地域。</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有1项情况存在，不符合。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1.有突出隐患的地区应提出迁址意见。2.养老机构要制定突发事件应对预案。</w:t>
            </w:r>
          </w:p>
        </w:tc>
      </w:tr>
      <w:tr>
        <w:tblPrEx>
          <w:tblLayout w:type="fixed"/>
          <w:tblCellMar>
            <w:top w:w="0" w:type="dxa"/>
            <w:left w:w="0" w:type="dxa"/>
            <w:bottom w:w="0" w:type="dxa"/>
            <w:right w:w="0" w:type="dxa"/>
          </w:tblCellMar>
        </w:tblPrEx>
        <w:trPr>
          <w:trHeight w:val="58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10</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提供24小时当班、值班服务，并做好记录和交接班。</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提供24小时服务且有相关记录，为符合；无当班、值班记录为部分符合；二者皆无为不符合。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1.养老机构建立24小时值班、当班服务制度并做好记录。2.民政部门要规范养老机构当班、值班、交接班工作。</w:t>
            </w:r>
          </w:p>
        </w:tc>
      </w:tr>
      <w:tr>
        <w:tblPrEx>
          <w:tblLayout w:type="fixed"/>
          <w:tblCellMar>
            <w:top w:w="0" w:type="dxa"/>
            <w:left w:w="0" w:type="dxa"/>
            <w:bottom w:w="0" w:type="dxa"/>
            <w:right w:w="0" w:type="dxa"/>
          </w:tblCellMar>
        </w:tblPrEx>
        <w:trPr>
          <w:trHeight w:val="549"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11</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院内医疗机构管理服务符合卫生健康部门规定。</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如有院内医疗机构，不符合规定，则为不符合。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依据卫生健康部门意见整治。</w:t>
            </w:r>
          </w:p>
        </w:tc>
      </w:tr>
      <w:tr>
        <w:tblPrEx>
          <w:tblLayout w:type="fixed"/>
          <w:tblCellMar>
            <w:top w:w="0" w:type="dxa"/>
            <w:left w:w="0" w:type="dxa"/>
            <w:bottom w:w="0" w:type="dxa"/>
            <w:right w:w="0" w:type="dxa"/>
          </w:tblCellMar>
        </w:tblPrEx>
        <w:trPr>
          <w:trHeight w:val="416"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12</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有传染病预防措施。</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应有制度、工作流程，有1项做不到的，不符合。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在卫生防疫部门指导下建立养老机构传染病预防制度。</w:t>
            </w:r>
          </w:p>
        </w:tc>
      </w:tr>
      <w:tr>
        <w:tblPrEx>
          <w:tblLayout w:type="fixed"/>
          <w:tblCellMar>
            <w:top w:w="0" w:type="dxa"/>
            <w:left w:w="0" w:type="dxa"/>
            <w:bottom w:w="0" w:type="dxa"/>
            <w:right w:w="0" w:type="dxa"/>
          </w:tblCellMar>
        </w:tblPrEx>
        <w:trPr>
          <w:trHeight w:val="647"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13</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制定消防安全、特种设备设施安全、突发事件等相关管理制度、预警机制及应急预案。</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有1项未做到，不符合；如果没有特种设备，则不对特种设备管理做要求。</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1.养老机构按照规定制定完善。2.民政部门促进行业交流，推广优秀经验。</w:t>
            </w:r>
          </w:p>
        </w:tc>
      </w:tr>
      <w:tr>
        <w:tblPrEx>
          <w:tblLayout w:type="fixed"/>
          <w:tblCellMar>
            <w:top w:w="0" w:type="dxa"/>
            <w:left w:w="0" w:type="dxa"/>
            <w:bottom w:w="0" w:type="dxa"/>
            <w:right w:w="0" w:type="dxa"/>
          </w:tblCellMar>
        </w:tblPrEx>
        <w:trPr>
          <w:trHeight w:val="2005"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14</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人员住宿和主要活动场所严禁使用易燃可燃装饰装修材料，严禁采用夹芯材料燃烧性能低于A级的彩钢板搭建有人居住或者活动的建筑。</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立即停止该场所用于人员住宿和活动，或改建。</w:t>
            </w:r>
          </w:p>
        </w:tc>
      </w:tr>
      <w:tr>
        <w:tblPrEx>
          <w:tblLayout w:type="fixed"/>
          <w:tblCellMar>
            <w:top w:w="0" w:type="dxa"/>
            <w:left w:w="0" w:type="dxa"/>
            <w:bottom w:w="0" w:type="dxa"/>
            <w:right w:w="0" w:type="dxa"/>
          </w:tblCellMar>
        </w:tblPrEx>
        <w:trPr>
          <w:trHeight w:val="2272"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15</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对不需要设置自动消防系统的建筑，应当加强物防、技防措施，在人员住宿和主要活动场所安装独立式感烟火灾探测报警器和简易喷淋装置，配备应急照明和灭火器材。</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各项中有任何1点达不到，则该项不符合；设置自动消防系统的养老院则查看是否在相关场所对应设置相关设备，未对应设置的为不符合。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1.养老机构按照规定和标准整改。2.依据消防救援机构意见整治。</w:t>
            </w:r>
          </w:p>
        </w:tc>
      </w:tr>
      <w:tr>
        <w:tblPrEx>
          <w:tblLayout w:type="fixed"/>
          <w:tblCellMar>
            <w:top w:w="0" w:type="dxa"/>
            <w:left w:w="0" w:type="dxa"/>
            <w:bottom w:w="0" w:type="dxa"/>
            <w:right w:w="0" w:type="dxa"/>
          </w:tblCellMar>
        </w:tblPrEx>
        <w:trPr>
          <w:trHeight w:val="1678"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16</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每月至少组织一次防火检查，每日防火巡查，夜间防火巡查不少于两次，并做好记录。</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1.建立每日巡查、每月防火检查制度。2.在全国养老机构业务管理系统上定期填报检查记录。3.民政部门应定期检查养老机构的检查巡查记录，了解养老机构检查巡查情况。</w:t>
            </w:r>
          </w:p>
        </w:tc>
      </w:tr>
      <w:tr>
        <w:tblPrEx>
          <w:tblLayout w:type="fixed"/>
          <w:tblCellMar>
            <w:top w:w="0" w:type="dxa"/>
            <w:left w:w="0" w:type="dxa"/>
            <w:bottom w:w="0" w:type="dxa"/>
            <w:right w:w="0" w:type="dxa"/>
          </w:tblCellMar>
        </w:tblPrEx>
        <w:trPr>
          <w:trHeight w:val="1913"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17</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加强消防设施设备运行和维护保养，每年至少全面检查一次，结合实际建立微型消防站或志愿消防队，参加区域联防组织，实行联防联治联控。</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各项中有任何1点达不到，不符合。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1.建立检查消防设施设备运行和维护保障制度。2.积极参加消防救援机构组织的联防联治联控活动。</w:t>
            </w:r>
          </w:p>
        </w:tc>
      </w:tr>
      <w:tr>
        <w:tblPrEx>
          <w:tblLayout w:type="fixed"/>
          <w:tblCellMar>
            <w:top w:w="0" w:type="dxa"/>
            <w:left w:w="0" w:type="dxa"/>
            <w:bottom w:w="0" w:type="dxa"/>
            <w:right w:w="0" w:type="dxa"/>
          </w:tblCellMar>
        </w:tblPrEx>
        <w:trPr>
          <w:trHeight w:val="2116"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18</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保持安全出口、疏散通道、消防车通道畅通，应急照明、安全疏散指示标志完好。保证常闭式防火门处于关闭状态。</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依据消防救援机构意见整治。</w:t>
            </w:r>
          </w:p>
        </w:tc>
      </w:tr>
      <w:tr>
        <w:tblPrEx>
          <w:tblLayout w:type="fixed"/>
          <w:tblCellMar>
            <w:top w:w="0" w:type="dxa"/>
            <w:left w:w="0" w:type="dxa"/>
            <w:bottom w:w="0" w:type="dxa"/>
            <w:right w:w="0" w:type="dxa"/>
          </w:tblCellMar>
        </w:tblPrEx>
        <w:trPr>
          <w:trHeight w:val="171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19</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制定消防演练、应急疏散和灭火预案，每半年至少演练一次。每半年至少开展一次消防安全教育培训活动。</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制定预案、开展演练和培训。2.养老机构每半年至少演练一次，每半年至少开展一次消防安全教育培训活动，不断总结经验。3.养老机构在全国养老机构业务管理系统上及时填报相关活动记录。4.民政部门应定期检查养老机构演练、培训活动情况。</w:t>
            </w:r>
          </w:p>
        </w:tc>
      </w:tr>
      <w:tr>
        <w:tblPrEx>
          <w:tblLayout w:type="fixed"/>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20</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设立吸烟室，人员住宿和公共场所禁止吸烟。</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1.设立公共吸烟室。2.杜绝老年人在住宿房间吸烟。</w:t>
            </w:r>
          </w:p>
        </w:tc>
      </w:tr>
      <w:tr>
        <w:tblPrEx>
          <w:tblLayout w:type="fixed"/>
          <w:tblCellMar>
            <w:top w:w="0" w:type="dxa"/>
            <w:left w:w="0" w:type="dxa"/>
            <w:bottom w:w="0" w:type="dxa"/>
            <w:right w:w="0" w:type="dxa"/>
          </w:tblCellMar>
        </w:tblPrEx>
        <w:trPr>
          <w:trHeight w:val="855"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21</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定期组织对电器产品及其线路、管路进行维护保养和检测，及时整改电气火灾隐患。</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1.在相关专业人员指导下定期组织维护保养和检测。2.及时整改隐患。</w:t>
            </w:r>
          </w:p>
        </w:tc>
      </w:tr>
      <w:tr>
        <w:tblPrEx>
          <w:tblLayout w:type="fixed"/>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22</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燃气安全应符合国家相关规定，设置可燃气体报警装置。</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如有，有1项未做到，不符合</w:t>
            </w:r>
          </w:p>
        </w:tc>
        <w:tc>
          <w:tcPr>
            <w:tcW w:w="495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1.依据燃气行政主管部门意见整治。2.使用人员应接受相应安全使用培训合格。</w:t>
            </w:r>
          </w:p>
        </w:tc>
      </w:tr>
      <w:tr>
        <w:tblPrEx>
          <w:tblLayout w:type="fixed"/>
          <w:tblCellMar>
            <w:top w:w="0" w:type="dxa"/>
            <w:left w:w="0" w:type="dxa"/>
            <w:bottom w:w="0" w:type="dxa"/>
            <w:right w:w="0" w:type="dxa"/>
          </w:tblCellMar>
        </w:tblPrEx>
        <w:trPr>
          <w:trHeight w:val="603"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23</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定期维护保养燃气设施设备。</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如有，有1项未做到，不符合</w:t>
            </w:r>
          </w:p>
        </w:tc>
        <w:tc>
          <w:tcPr>
            <w:tcW w:w="49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仿宋" w:hAnsi="仿宋" w:eastAsia="仿宋" w:cs="仿宋"/>
                <w:color w:val="000000"/>
                <w:sz w:val="24"/>
                <w:szCs w:val="24"/>
              </w:rPr>
            </w:pPr>
          </w:p>
        </w:tc>
      </w:tr>
      <w:tr>
        <w:tblPrEx>
          <w:tblLayout w:type="fixed"/>
          <w:tblCellMar>
            <w:top w:w="0" w:type="dxa"/>
            <w:left w:w="0" w:type="dxa"/>
            <w:bottom w:w="0" w:type="dxa"/>
            <w:right w:w="0" w:type="dxa"/>
          </w:tblCellMar>
        </w:tblPrEx>
        <w:trPr>
          <w:trHeight w:val="855"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24</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燃气设施使用正确，无私自拆、移、改动燃气装置，无私自使用燃气热水器、取暖器和其他燃气器具等。</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如有，有1项未做到，不符合</w:t>
            </w:r>
          </w:p>
        </w:tc>
        <w:tc>
          <w:tcPr>
            <w:tcW w:w="49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仿宋" w:hAnsi="仿宋" w:eastAsia="仿宋" w:cs="仿宋"/>
                <w:color w:val="000000"/>
                <w:sz w:val="24"/>
                <w:szCs w:val="24"/>
              </w:rPr>
            </w:pPr>
          </w:p>
        </w:tc>
      </w:tr>
      <w:tr>
        <w:tblPrEx>
          <w:tblLayout w:type="fixed"/>
          <w:tblCellMar>
            <w:top w:w="0" w:type="dxa"/>
            <w:left w:w="0" w:type="dxa"/>
            <w:bottom w:w="0" w:type="dxa"/>
            <w:right w:w="0" w:type="dxa"/>
          </w:tblCellMar>
        </w:tblPrEx>
        <w:trPr>
          <w:trHeight w:val="570"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25</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燃气设施清洁干净卫生，周围无可燃物品和其他杂物堆放。</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如有，有1项未做到，不符合。</w:t>
            </w:r>
          </w:p>
        </w:tc>
        <w:tc>
          <w:tcPr>
            <w:tcW w:w="49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仿宋" w:hAnsi="仿宋" w:eastAsia="仿宋" w:cs="仿宋"/>
                <w:color w:val="000000"/>
                <w:sz w:val="24"/>
                <w:szCs w:val="24"/>
              </w:rPr>
            </w:pPr>
          </w:p>
        </w:tc>
      </w:tr>
      <w:tr>
        <w:tblPrEx>
          <w:tblLayout w:type="fixed"/>
          <w:tblCellMar>
            <w:top w:w="0" w:type="dxa"/>
            <w:left w:w="0" w:type="dxa"/>
            <w:bottom w:w="0" w:type="dxa"/>
            <w:right w:w="0" w:type="dxa"/>
          </w:tblCellMar>
        </w:tblPrEx>
        <w:trPr>
          <w:trHeight w:val="1377" w:hRule="atLeast"/>
        </w:trPr>
        <w:tc>
          <w:tcPr>
            <w:tcW w:w="6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26</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购置、使用和更换电梯、锅炉、压力容器（含气瓶）、压力管道等特种设备，应符合相关规定。</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如有，有1项未做到，不符合。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1.依据市场监管部门特种设备机构意见整治。2.使用人员应接受相应安全使用培训合格，取得相应的特种设备作业人员资格证书并对在用特种设备进行经常性维护保养和定期自行检查。</w:t>
            </w:r>
          </w:p>
        </w:tc>
      </w:tr>
      <w:tr>
        <w:tblPrEx>
          <w:tblLayout w:type="fixed"/>
          <w:tblCellMar>
            <w:top w:w="0" w:type="dxa"/>
            <w:left w:w="0" w:type="dxa"/>
            <w:bottom w:w="0" w:type="dxa"/>
            <w:right w:w="0" w:type="dxa"/>
          </w:tblCellMar>
        </w:tblPrEx>
        <w:trPr>
          <w:trHeight w:val="1116" w:hRule="atLeast"/>
        </w:trPr>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27</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建立出入、探视、请销假等制度，防止老年人走失。</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有1项未做到，不符合。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建立出入、探视、请销假等制度。</w:t>
            </w:r>
          </w:p>
        </w:tc>
      </w:tr>
      <w:tr>
        <w:tblPrEx>
          <w:tblLayout w:type="fixed"/>
          <w:tblCellMar>
            <w:top w:w="0" w:type="dxa"/>
            <w:left w:w="0" w:type="dxa"/>
            <w:bottom w:w="0" w:type="dxa"/>
            <w:right w:w="0" w:type="dxa"/>
          </w:tblCellMar>
        </w:tblPrEx>
        <w:trPr>
          <w:trHeight w:val="2109" w:hRule="atLeast"/>
        </w:trPr>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kern w:val="0"/>
                <w:sz w:val="24"/>
                <w:szCs w:val="24"/>
                <w:lang w:bidi="ar"/>
              </w:rPr>
              <w:t>28</w:t>
            </w:r>
          </w:p>
        </w:tc>
        <w:tc>
          <w:tcPr>
            <w:tcW w:w="3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建立突发事件处理的应急预案，对自伤、伤人、跌倒、坠床、噎食、误吸、走失、烫伤、食物中毒等事件有明确应急处理流程和报告制度。</w:t>
            </w:r>
          </w:p>
        </w:tc>
        <w:tc>
          <w:tcPr>
            <w:tcW w:w="5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有应急预案、应急处置流程、报告制度，缺少1项即为部分符合。全部缺少为不符合。</w:t>
            </w:r>
          </w:p>
        </w:tc>
        <w:tc>
          <w:tcPr>
            <w:tcW w:w="49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养老机构建立自伤、伤人、跌倒、坠床、噎食、误吸、走失、烫伤、食物中毒等突发事件的应急处理流程和报告制度。2.养老机构加强人员培训，提高处置能力。3.民政部门应促进行业交流，推广典型做法和制度。</w:t>
            </w:r>
          </w:p>
        </w:tc>
      </w:tr>
      <w:tr>
        <w:tblPrEx>
          <w:tblLayout w:type="fixed"/>
          <w:tblCellMar>
            <w:top w:w="0" w:type="dxa"/>
            <w:left w:w="0" w:type="dxa"/>
            <w:bottom w:w="0" w:type="dxa"/>
            <w:right w:w="0" w:type="dxa"/>
          </w:tblCellMar>
        </w:tblPrEx>
        <w:trPr>
          <w:trHeight w:val="1540" w:hRule="atLeast"/>
        </w:trPr>
        <w:tc>
          <w:tcPr>
            <w:tcW w:w="13988" w:type="dxa"/>
            <w:gridSpan w:val="4"/>
            <w:tcBorders>
              <w:top w:val="nil"/>
              <w:left w:val="nil"/>
              <w:bottom w:val="nil"/>
              <w:right w:val="nil"/>
            </w:tcBorders>
            <w:noWrap w:val="0"/>
            <w:tcMar>
              <w:top w:w="15" w:type="dxa"/>
              <w:left w:w="15" w:type="dxa"/>
              <w:right w:w="15" w:type="dxa"/>
            </w:tcMar>
            <w:vAlign w:val="center"/>
          </w:tcPr>
          <w:p>
            <w:pPr>
              <w:widowControl/>
              <w:jc w:val="left"/>
              <w:textAlignment w:val="center"/>
              <w:rPr>
                <w:rFonts w:hint="eastAsia" w:ascii="宋体" w:hAnsi="宋体" w:cs="宋体"/>
                <w:b/>
                <w:color w:val="000000"/>
                <w:sz w:val="24"/>
                <w:szCs w:val="24"/>
              </w:rPr>
            </w:pPr>
            <w:r>
              <w:rPr>
                <w:rFonts w:hint="eastAsia" w:ascii="宋体" w:hAnsi="宋体" w:cs="宋体"/>
                <w:b/>
                <w:color w:val="000000"/>
                <w:kern w:val="0"/>
                <w:sz w:val="24"/>
                <w:szCs w:val="24"/>
                <w:lang w:bidi="ar"/>
              </w:rPr>
              <w:t xml:space="preserve">    注：1. 以上指标均来自《养老院服务质量大检查指南》，表中“原序号”是指该指标在《养老院服务质量大检查指南》中的序号；2.《养老院服务质量大检查指南》中原序号为6、12、13、14的指标要求（关于食品安全内容）并入修改后的第7项指标（原序号为30）；3.各地可根据本行政区内养老机构风险隐患实际补充其他检查指标。</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9F12CE"/>
    <w:rsid w:val="3A9F1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2019-10-17T00:50:00Z</dcterms:created>
  <dc:creator>总有刁民想害朕</dc:creator>
  <cp:lastModifiedBy>总有刁民想害朕</cp:lastModifiedBy>
  <dcterms:modified xsi:type="dcterms:W3CDTF">2019-10-17T00:51:22Z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