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2023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年市级基本支出决算情况说明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工资福利支出82785.57万元，下降3.7%；商品和服务支出15997.17万元，下降12.25%；对个人和家庭的补助支出5870.73万元，增长39.65%。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工资福利支出中，住房公积金6196.06万元，增长35.69%；公务员医疗补助缴费1361.5万元，增长26.71%；绩效工资7269.2万元，增长21.7%；其他工资福利支出538.06万元，下降80.82%；其他社会保障缴费358.61万元，下降66.95%；奖金13360.37万元，下降16.39%；职工基本医疗保险缴费2923.72万元，下降14.43%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商品和服务支出中，专用材料费3683.2万元，增长174.2%；公务接待费277.62万元，增长64.56%；差旅费845.65万元，增长37.47%；公务用车运行维护费1039.34万元，增长30.4%；福利费987.24万元，增长26.67%；委托业务费66.78万元，下降97.43%；物业管理费171.12万元，下降70.21%；会议费29.55万元，下降69.33%；维修（护）费598.61万元，下降67.67%；租赁费43.69万元，下降67.02%；手续费1.65万元，下降66.67%；劳务费352.6万元，下降51.28%；印刷费132.96万元，下降42.03%；其他商品和服务支出309.62万元，下降38.7%；被装购置费14.4万元，下降36.14%；咨询费10.05万元，下降34.53%；办公费1174.12万元，下降29.55%；电费523.38万元，下降25.35%；培训费124.99万元，下降20.37%；专用燃料费4.45万元，下降18.35%；邮电费203.55万元，下降17.47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个人和家庭的补助中，退休费1875.73万元，增长342.92%；医疗费补助1285.07万元，增长312.97%；抚恤金2291.15万元，增长41.54%；助学金17.29万元，下降96.86%；其他对个人和家庭的补助14.09万元，下降83.9%；生活补助169.67万元，下降81.96%；退职（役）费1.08万元，下降78.36%；奖励金36.44万元，下降44.75%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该表反映的“三公”经费支出数与部门实际支出数存在差异，主要是该表反映的支出不含部门项目支出中所列“三公”经费支出。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2D132F"/>
    <w:rsid w:val="05720E2A"/>
    <w:rsid w:val="097F12A3"/>
    <w:rsid w:val="12555A81"/>
    <w:rsid w:val="1424395D"/>
    <w:rsid w:val="180C58A0"/>
    <w:rsid w:val="230B1890"/>
    <w:rsid w:val="2FF034A9"/>
    <w:rsid w:val="541C548D"/>
    <w:rsid w:val="56EB5639"/>
    <w:rsid w:val="5E374D9F"/>
    <w:rsid w:val="67C84255"/>
    <w:rsid w:val="718722D2"/>
    <w:rsid w:val="732D132F"/>
    <w:rsid w:val="77DD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Office_11.8.2.12014_F1E327BC-269C-435d-A152-05C5408002CA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2023-09-15T06:05:00Z</dcterms:created>
  <dc:creator>Administrator</dc:creator>
  <cp:lastModifiedBy>Administrator</cp:lastModifiedBy>
  <dcterms:modified xsi:type="dcterms:W3CDTF">2024-08-23T08:39:22Z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2052-11.8.2.12014</vt:lpwstr>
  </property>
  <property fmtid="{D5CDD505-2E9C-101B-9397-08002B2CF9AE}" pid="3" name="ICV">
    <vt:lpwstr>8952BE0742DE44719AA6DD43BB6830D6</vt:lpwstr>
  </property>
</Properties>
</file>