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distribute"/>
      </w:pPr>
    </w:p>
    <w:p>
      <w:pPr>
        <w:spacing w:line="360" w:lineRule="auto"/>
        <w:jc w:val="distribute"/>
      </w:pPr>
    </w:p>
    <w:p>
      <w:pPr>
        <w:spacing w:line="360" w:lineRule="auto"/>
        <w:jc w:val="distribute"/>
      </w:pPr>
    </w:p>
    <w:p>
      <w:pPr>
        <w:spacing w:line="360" w:lineRule="auto"/>
      </w:pPr>
    </w:p>
    <w:p>
      <w:pPr>
        <w:spacing w:line="360" w:lineRule="auto"/>
        <w:jc w:val="distribute"/>
      </w:pPr>
    </w:p>
    <w:p>
      <w:pPr>
        <w:spacing w:line="360" w:lineRule="auto"/>
        <w:jc w:val="distribute"/>
      </w:pPr>
    </w:p>
    <w:p>
      <w:pPr>
        <w:spacing w:line="360" w:lineRule="auto"/>
        <w:jc w:val="distribute"/>
      </w:pPr>
    </w:p>
    <w:p>
      <w:pPr>
        <w:spacing w:line="360" w:lineRule="auto"/>
        <w:jc w:val="distribute"/>
      </w:pPr>
    </w:p>
    <w:p>
      <w:pPr>
        <w:spacing w:line="360" w:lineRule="auto"/>
        <w:jc w:val="center"/>
        <w:rPr>
          <w:rFonts w:eastAsia="黑体"/>
          <w:b/>
          <w:sz w:val="52"/>
          <w:szCs w:val="52"/>
        </w:rPr>
      </w:pPr>
      <w:r>
        <w:rPr>
          <w:rFonts w:hint="eastAsia" w:eastAsia="黑体"/>
          <w:b/>
          <w:sz w:val="52"/>
          <w:szCs w:val="52"/>
        </w:rPr>
        <w:t>甘肃省政府采购管理</w:t>
      </w:r>
      <w:r>
        <w:rPr>
          <w:rFonts w:eastAsia="黑体"/>
          <w:b/>
          <w:sz w:val="52"/>
          <w:szCs w:val="52"/>
        </w:rPr>
        <w:t>交易系统与张掖市公共资源交易平台互联互通</w:t>
      </w:r>
    </w:p>
    <w:p>
      <w:pPr>
        <w:spacing w:line="360" w:lineRule="auto"/>
        <w:jc w:val="center"/>
        <w:rPr>
          <w:rFonts w:eastAsia="黑体"/>
          <w:b/>
          <w:sz w:val="52"/>
          <w:szCs w:val="52"/>
        </w:rPr>
      </w:pPr>
      <w:r>
        <w:rPr>
          <w:rFonts w:hint="eastAsia" w:eastAsia="黑体"/>
          <w:b/>
          <w:sz w:val="52"/>
          <w:szCs w:val="52"/>
        </w:rPr>
        <w:t>采购人</w:t>
      </w:r>
      <w:r>
        <w:rPr>
          <w:rFonts w:eastAsia="黑体"/>
          <w:b/>
          <w:sz w:val="52"/>
          <w:szCs w:val="52"/>
        </w:rPr>
        <w:t>或</w:t>
      </w:r>
      <w:r>
        <w:rPr>
          <w:rFonts w:hint="eastAsia" w:eastAsia="黑体"/>
          <w:b/>
          <w:sz w:val="52"/>
          <w:szCs w:val="52"/>
        </w:rPr>
        <w:t>代理机构操作手册</w:t>
      </w:r>
    </w:p>
    <w:p>
      <w:pPr>
        <w:spacing w:line="360" w:lineRule="auto"/>
        <w:jc w:val="center"/>
        <w:rPr>
          <w:rFonts w:eastAsia="黑体"/>
          <w:b/>
          <w:sz w:val="52"/>
          <w:szCs w:val="52"/>
        </w:rPr>
      </w:pPr>
    </w:p>
    <w:p>
      <w:pPr>
        <w:spacing w:line="360" w:lineRule="auto"/>
        <w:rPr>
          <w:rFonts w:eastAsia="黑体"/>
          <w:b/>
          <w:sz w:val="52"/>
          <w:szCs w:val="52"/>
        </w:rPr>
      </w:pPr>
    </w:p>
    <w:p>
      <w:pPr>
        <w:widowControl/>
        <w:jc w:val="left"/>
        <w:rPr>
          <w:b/>
          <w:bCs/>
          <w:sz w:val="40"/>
          <w:szCs w:val="48"/>
        </w:rPr>
      </w:pPr>
      <w:bookmarkStart w:id="0" w:name="_Toc1872"/>
      <w:bookmarkStart w:id="1" w:name="_Toc346701629"/>
      <w:bookmarkStart w:id="2" w:name="_Toc475978931"/>
      <w:r>
        <w:rPr>
          <w:b/>
          <w:bCs/>
          <w:sz w:val="40"/>
          <w:szCs w:val="48"/>
        </w:rPr>
        <w:br w:type="page"/>
      </w:r>
    </w:p>
    <w:p>
      <w:pPr>
        <w:pStyle w:val="3"/>
        <w:numPr>
          <w:ilvl w:val="0"/>
          <w:numId w:val="0"/>
        </w:numPr>
      </w:pPr>
      <w:r>
        <w:rPr>
          <w:rFonts w:hint="eastAsia"/>
        </w:rPr>
        <w:t>一、</w:t>
      </w:r>
      <w:r>
        <w:t>项目</w:t>
      </w:r>
      <w:bookmarkEnd w:id="0"/>
      <w:bookmarkEnd w:id="1"/>
      <w:r>
        <w:rPr>
          <w:rFonts w:hint="eastAsia"/>
        </w:rPr>
        <w:t>注册</w:t>
      </w:r>
      <w:bookmarkEnd w:id="2"/>
    </w:p>
    <w:p>
      <w:pPr>
        <w:spacing w:line="360" w:lineRule="auto"/>
        <w:ind w:firstLine="420" w:firstLineChars="200"/>
        <w:jc w:val="left"/>
      </w:pPr>
      <w:r>
        <w:rPr>
          <w:rFonts w:hint="eastAsia"/>
          <w:color w:val="4F81BD" w:themeColor="accent1"/>
          <w14:textFill>
            <w14:solidFill>
              <w14:schemeClr w14:val="accent1"/>
            </w14:solidFill>
          </w14:textFill>
        </w:rPr>
        <w:t>在项目注册环节，采购人或代理机构在甘肃省政府采购管理交易系统（以下简称“甘肃省政府采购网”）进行基础信息的填写，填写项目信息提交后推送项目信息至交易中心平台。</w:t>
      </w:r>
      <w:r>
        <w:rPr>
          <w:rFonts w:hint="eastAsia"/>
        </w:rPr>
        <w:t>登录交易中心平台以后，在工作台编辑中可查看项目信息。</w:t>
      </w:r>
    </w:p>
    <w:p>
      <w:pPr>
        <w:spacing w:line="360" w:lineRule="auto"/>
        <w:jc w:val="left"/>
      </w:pPr>
      <w:r>
        <w:drawing>
          <wp:inline distT="0" distB="0" distL="114300" distR="114300">
            <wp:extent cx="5266690" cy="1774825"/>
            <wp:effectExtent l="0" t="0" r="10160" b="158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</w:pPr>
      <w:r>
        <w:drawing>
          <wp:inline distT="0" distB="0" distL="114300" distR="114300">
            <wp:extent cx="5266690" cy="2186940"/>
            <wp:effectExtent l="0" t="0" r="1016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  <w:jc w:val="left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场地预约（流程不变）</w:t>
      </w:r>
    </w:p>
    <w:p>
      <w:pPr>
        <w:spacing w:line="360" w:lineRule="auto"/>
        <w:ind w:firstLine="420" w:firstLineChars="200"/>
        <w:jc w:val="left"/>
      </w:pPr>
      <w:r>
        <w:rPr>
          <w:rFonts w:hint="eastAsia"/>
        </w:rPr>
        <w:t>项目注册完成以后，在张掖交易平台进行预约场地。</w:t>
      </w:r>
      <w:r>
        <w:drawing>
          <wp:inline distT="0" distB="0" distL="114300" distR="114300">
            <wp:extent cx="5266055" cy="2649220"/>
            <wp:effectExtent l="0" t="0" r="4445" b="508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64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color w:val="FF0000"/>
        </w:rPr>
      </w:pPr>
    </w:p>
    <w:p>
      <w:pPr>
        <w:spacing w:line="360" w:lineRule="auto"/>
        <w:jc w:val="left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三、招标（采购）公告/变更公告</w:t>
      </w:r>
    </w:p>
    <w:p>
      <w:pPr>
        <w:spacing w:line="360" w:lineRule="auto"/>
        <w:ind w:firstLine="420" w:firstLineChars="200"/>
        <w:jc w:val="left"/>
        <w:rPr>
          <w:color w:val="FF0000"/>
        </w:rPr>
      </w:pPr>
      <w:r>
        <w:rPr>
          <w:rFonts w:hint="eastAsia"/>
        </w:rPr>
        <w:t xml:space="preserve">  </w:t>
      </w:r>
      <w:r>
        <w:rPr>
          <w:rFonts w:hint="eastAsia"/>
          <w:color w:val="4F81BD" w:themeColor="accent1"/>
          <w14:textFill>
            <w14:solidFill>
              <w14:schemeClr w14:val="accent1"/>
            </w14:solidFill>
          </w14:textFill>
        </w:rPr>
        <w:t>招标（采购）公告环节，采购人或代理机构在“甘肃省政府采购网”填写并生成公告信息，点击</w:t>
      </w:r>
      <w:r>
        <w:rPr>
          <w:color w:val="4F81BD" w:themeColor="accent1"/>
          <w14:textFill>
            <w14:solidFill>
              <w14:schemeClr w14:val="accent1"/>
            </w14:solidFill>
          </w14:textFill>
        </w:rPr>
        <w:t>”</w:t>
      </w:r>
      <w:r>
        <w:rPr>
          <w:rFonts w:hint="eastAsia"/>
          <w:color w:val="4F81BD" w:themeColor="accent1"/>
          <w14:textFill>
            <w14:solidFill>
              <w14:schemeClr w14:val="accent1"/>
            </w14:solidFill>
          </w14:textFill>
        </w:rPr>
        <w:t>提交并发布”以后系统会推送公告至交易中心平台；</w:t>
      </w:r>
      <w:r>
        <w:rPr>
          <w:rFonts w:hint="eastAsia"/>
        </w:rPr>
        <w:t>采购人或代理机构在交易中心平台点击“提交信息”后由</w:t>
      </w:r>
      <w:r>
        <w:rPr>
          <w:rFonts w:hint="eastAsia"/>
          <w:b/>
          <w:bCs/>
          <w:color w:val="FF0000"/>
          <w:sz w:val="28"/>
          <w:szCs w:val="36"/>
        </w:rPr>
        <w:t>交易受理段</w:t>
      </w:r>
      <w:r>
        <w:rPr>
          <w:rFonts w:hint="eastAsia"/>
        </w:rPr>
        <w:t>通过后发布，公告内容会同时发布到甘肃省政府采购网和张掖市公共资源交易网。</w:t>
      </w:r>
      <w:r>
        <w:rPr>
          <w:rFonts w:hint="eastAsia"/>
          <w:color w:val="FF0000"/>
        </w:rPr>
        <w:t>（注意：公告信息内容须在省政府采购网提交之前进行确认，在交易中心平台无法进行编辑和调整）</w:t>
      </w:r>
    </w:p>
    <w:p>
      <w:pPr>
        <w:spacing w:line="360" w:lineRule="auto"/>
        <w:jc w:val="left"/>
        <w:rPr>
          <w:b/>
          <w:bCs/>
        </w:rPr>
      </w:pPr>
      <w:r>
        <w:drawing>
          <wp:inline distT="0" distB="0" distL="114300" distR="114300">
            <wp:extent cx="5265420" cy="2516505"/>
            <wp:effectExtent l="0" t="0" r="5080" b="1079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51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pStyle w:val="3"/>
        <w:numPr>
          <w:ilvl w:val="1"/>
          <w:numId w:val="0"/>
        </w:numPr>
      </w:pPr>
      <w:r>
        <w:rPr>
          <w:rFonts w:hint="eastAsia"/>
        </w:rPr>
        <w:t>四、电子版交易文件制作（流程不变）</w:t>
      </w:r>
    </w:p>
    <w:p>
      <w:pPr>
        <w:spacing w:line="360" w:lineRule="auto"/>
        <w:jc w:val="left"/>
      </w:pPr>
      <w:r>
        <w:rPr>
          <w:rFonts w:hint="eastAsia"/>
        </w:rPr>
        <w:t>在张掖交易平台进行制作电子招标文件</w:t>
      </w:r>
    </w:p>
    <w:p>
      <w:pPr>
        <w:spacing w:line="360" w:lineRule="auto"/>
        <w:jc w:val="left"/>
      </w:pPr>
    </w:p>
    <w:p>
      <w:pPr>
        <w:pStyle w:val="3"/>
        <w:numPr>
          <w:ilvl w:val="0"/>
          <w:numId w:val="3"/>
        </w:numPr>
      </w:pPr>
      <w:r>
        <w:rPr>
          <w:rFonts w:hint="eastAsia"/>
        </w:rPr>
        <w:t>中标公告发布/变更</w:t>
      </w:r>
    </w:p>
    <w:p/>
    <w:p>
      <w:pPr>
        <w:spacing w:line="360" w:lineRule="auto"/>
        <w:ind w:firstLine="420" w:firstLineChars="200"/>
        <w:jc w:val="left"/>
        <w:rPr>
          <w:color w:val="FF0000"/>
        </w:rPr>
      </w:pPr>
      <w:r>
        <w:rPr>
          <w:rFonts w:hint="eastAsia"/>
        </w:rPr>
        <w:t xml:space="preserve"> </w:t>
      </w:r>
      <w:r>
        <w:rPr>
          <w:rFonts w:hint="eastAsia"/>
          <w:color w:val="4F81BD" w:themeColor="accent1"/>
          <w14:textFill>
            <w14:solidFill>
              <w14:schemeClr w14:val="accent1"/>
            </w14:solidFill>
          </w14:textFill>
        </w:rPr>
        <w:t>招标（采购）公告环节，采购人或代理机构在“甘肃省政府采购网”填写并生成公告信息，点击</w:t>
      </w:r>
      <w:r>
        <w:rPr>
          <w:color w:val="4F81BD" w:themeColor="accent1"/>
          <w14:textFill>
            <w14:solidFill>
              <w14:schemeClr w14:val="accent1"/>
            </w14:solidFill>
          </w14:textFill>
        </w:rPr>
        <w:t>”</w:t>
      </w:r>
      <w:r>
        <w:rPr>
          <w:rFonts w:hint="eastAsia"/>
          <w:color w:val="4F81BD" w:themeColor="accent1"/>
          <w14:textFill>
            <w14:solidFill>
              <w14:schemeClr w14:val="accent1"/>
            </w14:solidFill>
          </w14:textFill>
        </w:rPr>
        <w:t>提交并发布”以后系统会推送公告至交易中心平台；</w:t>
      </w:r>
      <w:r>
        <w:rPr>
          <w:rFonts w:hint="eastAsia"/>
        </w:rPr>
        <w:t>采购人或代理机构在交易中心平台点击“提交信息”后由交易</w:t>
      </w:r>
      <w:r>
        <w:rPr>
          <w:rFonts w:hint="eastAsia"/>
          <w:b/>
          <w:bCs/>
          <w:color w:val="FF0000"/>
          <w:sz w:val="28"/>
          <w:szCs w:val="36"/>
        </w:rPr>
        <w:t>组织段</w:t>
      </w:r>
      <w:r>
        <w:rPr>
          <w:rFonts w:hint="eastAsia"/>
        </w:rPr>
        <w:t>通过后发布，公告内容会同时发布到甘肃省政府采购网和</w:t>
      </w:r>
      <w:r>
        <w:rPr>
          <w:rFonts w:hint="eastAsia"/>
          <w:lang w:val="en-US" w:eastAsia="zh-CN"/>
        </w:rPr>
        <w:t>张掖</w:t>
      </w:r>
      <w:bookmarkStart w:id="3" w:name="_GoBack"/>
      <w:bookmarkEnd w:id="3"/>
      <w:r>
        <w:rPr>
          <w:rFonts w:hint="eastAsia"/>
        </w:rPr>
        <w:t>市公共资源交易网。</w:t>
      </w:r>
      <w:r>
        <w:rPr>
          <w:rFonts w:hint="eastAsia"/>
          <w:color w:val="FF0000"/>
        </w:rPr>
        <w:t>（注意：公告信息内容须在省政府采购网提交之前进行确认，在交易中心平台无法进行编辑和调整）</w:t>
      </w:r>
    </w:p>
    <w:p>
      <w:pPr>
        <w:spacing w:line="360" w:lineRule="auto"/>
        <w:ind w:firstLine="420" w:firstLineChars="200"/>
        <w:jc w:val="left"/>
        <w:rPr>
          <w:color w:val="FF0000"/>
        </w:rPr>
      </w:pPr>
      <w:r>
        <w:drawing>
          <wp:inline distT="0" distB="0" distL="114300" distR="114300">
            <wp:extent cx="5269230" cy="2531745"/>
            <wp:effectExtent l="0" t="0" r="1270" b="825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</w:pPr>
    </w:p>
    <w:p>
      <w:pPr>
        <w:pStyle w:val="3"/>
        <w:numPr>
          <w:ilvl w:val="0"/>
          <w:numId w:val="3"/>
        </w:numPr>
      </w:pPr>
      <w:r>
        <w:rPr>
          <w:rFonts w:hint="eastAsia"/>
        </w:rPr>
        <w:t>废标公告发布</w:t>
      </w:r>
    </w:p>
    <w:p/>
    <w:p>
      <w:pPr>
        <w:spacing w:line="360" w:lineRule="auto"/>
        <w:ind w:firstLine="420" w:firstLineChars="200"/>
        <w:jc w:val="left"/>
        <w:rPr>
          <w:color w:val="FF0000"/>
        </w:rPr>
      </w:pPr>
      <w:r>
        <w:rPr>
          <w:rFonts w:hint="eastAsia"/>
        </w:rPr>
        <w:t xml:space="preserve"> </w:t>
      </w:r>
      <w:r>
        <w:rPr>
          <w:rFonts w:hint="eastAsia"/>
          <w:color w:val="4F81BD" w:themeColor="accent1"/>
          <w14:textFill>
            <w14:solidFill>
              <w14:schemeClr w14:val="accent1"/>
            </w14:solidFill>
          </w14:textFill>
        </w:rPr>
        <w:t>招标（采购）公告环节，采购人或代理机构在“甘肃省政府采购网”填写并生成废标公告信息，点击</w:t>
      </w:r>
      <w:r>
        <w:rPr>
          <w:color w:val="4F81BD" w:themeColor="accent1"/>
          <w14:textFill>
            <w14:solidFill>
              <w14:schemeClr w14:val="accent1"/>
            </w14:solidFill>
          </w14:textFill>
        </w:rPr>
        <w:t>”</w:t>
      </w:r>
      <w:r>
        <w:rPr>
          <w:rFonts w:hint="eastAsia"/>
          <w:color w:val="4F81BD" w:themeColor="accent1"/>
          <w14:textFill>
            <w14:solidFill>
              <w14:schemeClr w14:val="accent1"/>
            </w14:solidFill>
          </w14:textFill>
        </w:rPr>
        <w:t>提交并发布”以后系统会推送公告至交易中心平台；</w:t>
      </w:r>
      <w:r>
        <w:rPr>
          <w:rFonts w:hint="eastAsia"/>
        </w:rPr>
        <w:t>采购人或代理机构在交易中心平台点击“提交信息”后由</w:t>
      </w:r>
      <w:r>
        <w:rPr>
          <w:rFonts w:hint="eastAsia"/>
          <w:b/>
          <w:bCs/>
          <w:color w:val="FF0000"/>
          <w:sz w:val="28"/>
          <w:szCs w:val="36"/>
        </w:rPr>
        <w:t>组织段</w:t>
      </w:r>
      <w:r>
        <w:rPr>
          <w:rFonts w:hint="eastAsia"/>
        </w:rPr>
        <w:t>通过后发布，公告内容会同时发布到甘肃省政府采购网和张掖市公共资源交易网。</w:t>
      </w:r>
      <w:r>
        <w:rPr>
          <w:rFonts w:hint="eastAsia"/>
          <w:color w:val="FF0000"/>
        </w:rPr>
        <w:t>（注意：公告信息内容须在省政府采购网提交之前进行确认，在交易中心平台无法进行编辑和调整）</w:t>
      </w:r>
    </w:p>
    <w:p>
      <w:pPr>
        <w:spacing w:line="360" w:lineRule="auto"/>
        <w:jc w:val="left"/>
      </w:pPr>
      <w:r>
        <w:drawing>
          <wp:inline distT="0" distB="0" distL="114300" distR="114300">
            <wp:extent cx="5269230" cy="2419985"/>
            <wp:effectExtent l="0" t="0" r="1270" b="5715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</w:pPr>
    </w:p>
    <w:p>
      <w:pPr>
        <w:pStyle w:val="3"/>
        <w:numPr>
          <w:ilvl w:val="0"/>
          <w:numId w:val="3"/>
        </w:numPr>
      </w:pPr>
      <w:r>
        <w:rPr>
          <w:rFonts w:hint="eastAsia"/>
        </w:rPr>
        <w:t>其他说明</w:t>
      </w:r>
    </w:p>
    <w:p>
      <w:pPr>
        <w:rPr>
          <w:b/>
          <w:bCs/>
          <w:color w:val="FF0000"/>
          <w:sz w:val="28"/>
          <w:szCs w:val="36"/>
        </w:rPr>
      </w:pPr>
      <w:r>
        <w:rPr>
          <w:rFonts w:hint="eastAsia"/>
          <w:b/>
          <w:bCs/>
          <w:color w:val="FF0000"/>
          <w:sz w:val="28"/>
          <w:szCs w:val="36"/>
        </w:rPr>
        <w:t>其他环节均按照之前流程进行提交即可。</w:t>
      </w:r>
    </w:p>
    <w:p>
      <w:pPr>
        <w:spacing w:line="360" w:lineRule="auto"/>
        <w:jc w:val="left"/>
        <w:rPr>
          <w:b/>
          <w:bCs/>
          <w:color w:val="FF0000"/>
          <w:sz w:val="28"/>
          <w:szCs w:val="36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454" w:footer="680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9BBB59" w:sz="24" w:space="5"/>
      </w:pBdr>
      <w:wordWrap w:val="0"/>
      <w:jc w:val="right"/>
      <w:rPr>
        <w:i/>
        <w:iCs/>
        <w:color w:val="8C8C8C"/>
      </w:rPr>
    </w:pPr>
    <w:r>
      <w:t>江苏国泰新点软件有限公司 0512-58188000</w:t>
    </w:r>
    <w:r>
      <w:rPr>
        <w:rFonts w:hint="eastAsia"/>
      </w:rPr>
      <w:t xml:space="preserve">                </w:t>
    </w:r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  <w:r>
      <w:rPr>
        <w:lang w:val="zh-CN"/>
      </w:rPr>
      <w:t xml:space="preserve"> /</w:t>
    </w:r>
    <w:r>
      <w:rPr>
        <w:rFonts w:hint="eastAsia"/>
      </w:rPr>
      <w:t>41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pBdr>
        <w:bottom w:val="thickThinSmallGap" w:color="622423" w:sz="24" w:space="1"/>
      </w:pBdr>
      <w:jc w:val="left"/>
      <w:rPr>
        <w:rFonts w:ascii="Cambria" w:hAnsi="Cambria"/>
      </w:rPr>
    </w:pPr>
    <w:r>
      <w:rPr>
        <w:rFonts w:ascii="宋体" w:hAnsi="宋体"/>
      </w:rPr>
      <w:drawing>
        <wp:inline distT="0" distB="0" distL="114300" distR="114300">
          <wp:extent cx="596265" cy="302260"/>
          <wp:effectExtent l="0" t="0" r="635" b="2540"/>
          <wp:docPr id="7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6265" cy="30226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宋体" w:hAnsi="宋体"/>
      </w:rPr>
      <w:t>政府采购操作流程及电子标招标文件制作</w:t>
    </w:r>
    <w:r>
      <w:t xml:space="preserve"> </w:t>
    </w:r>
    <w:r>
      <w:rPr>
        <w:rFonts w:hint="eastAsia"/>
      </w:rPr>
      <w:t xml:space="preserve">       如有问题进群交流：692325020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729314"/>
    <w:multiLevelType w:val="singleLevel"/>
    <w:tmpl w:val="B572931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BED4F00"/>
    <w:multiLevelType w:val="singleLevel"/>
    <w:tmpl w:val="0BED4F00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A2F4AB3"/>
    <w:multiLevelType w:val="multilevel"/>
    <w:tmpl w:val="6A2F4AB3"/>
    <w:lvl w:ilvl="0" w:tentative="0">
      <w:start w:val="1"/>
      <w:numFmt w:val="chineseCountingThousand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nothing"/>
      <w:lvlText w:val="%1.%2、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pStyle w:val="4"/>
      <w:isLgl/>
      <w:suff w:val="nothing"/>
      <w:lvlText w:val="%1.%2.%3、"/>
      <w:lvlJc w:val="left"/>
      <w:pPr>
        <w:ind w:left="0" w:firstLine="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3" w:tentative="0">
      <w:start w:val="1"/>
      <w:numFmt w:val="decimal"/>
      <w:pStyle w:val="5"/>
      <w:isLgl/>
      <w:suff w:val="nothing"/>
      <w:lvlText w:val="%1.%2.%3.%4、"/>
      <w:lvlJc w:val="left"/>
      <w:pPr>
        <w:ind w:left="851" w:hanging="851"/>
      </w:pPr>
      <w:rPr>
        <w:rFonts w:hint="default" w:ascii="Times New Roman" w:hAnsi="Times New Roman" w:eastAsia="宋体" w:cs="Times New Roman"/>
        <w:sz w:val="24"/>
        <w:szCs w:val="24"/>
      </w:rPr>
    </w:lvl>
    <w:lvl w:ilvl="4" w:tentative="0">
      <w:start w:val="1"/>
      <w:numFmt w:val="decimal"/>
      <w:pStyle w:val="6"/>
      <w:isLgl/>
      <w:suff w:val="nothing"/>
      <w:lvlText w:val="%1.%2.%3.%4.%5、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pStyle w:val="7"/>
      <w:isLgl/>
      <w:suff w:val="nothing"/>
      <w:lvlText w:val="%1.%2.%3.%4.%5.%6、"/>
      <w:lvlJc w:val="left"/>
      <w:pPr>
        <w:ind w:left="1134" w:hanging="1134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276" w:hanging="127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1559" w:hanging="1559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ZmODAyYTg0NGIyNjY5NmVjMzRmOWI4YzY4NzM4YzUifQ=="/>
  </w:docVars>
  <w:rsids>
    <w:rsidRoot w:val="00CB0CB8"/>
    <w:rsid w:val="0001694C"/>
    <w:rsid w:val="000320DA"/>
    <w:rsid w:val="000557F9"/>
    <w:rsid w:val="000650B6"/>
    <w:rsid w:val="00082C92"/>
    <w:rsid w:val="000860E6"/>
    <w:rsid w:val="000A447D"/>
    <w:rsid w:val="000B2271"/>
    <w:rsid w:val="000B7C2A"/>
    <w:rsid w:val="000C2CD0"/>
    <w:rsid w:val="000D0E4C"/>
    <w:rsid w:val="000D60AB"/>
    <w:rsid w:val="000D7118"/>
    <w:rsid w:val="000E1406"/>
    <w:rsid w:val="001047D8"/>
    <w:rsid w:val="00111520"/>
    <w:rsid w:val="00113DCF"/>
    <w:rsid w:val="00133919"/>
    <w:rsid w:val="0014275C"/>
    <w:rsid w:val="00145792"/>
    <w:rsid w:val="001539D1"/>
    <w:rsid w:val="00161054"/>
    <w:rsid w:val="00161156"/>
    <w:rsid w:val="00183221"/>
    <w:rsid w:val="00185EF8"/>
    <w:rsid w:val="00194B0C"/>
    <w:rsid w:val="001A1956"/>
    <w:rsid w:val="001B14C0"/>
    <w:rsid w:val="001C19CA"/>
    <w:rsid w:val="001D4D22"/>
    <w:rsid w:val="001D7D73"/>
    <w:rsid w:val="002042E9"/>
    <w:rsid w:val="002125DC"/>
    <w:rsid w:val="00213125"/>
    <w:rsid w:val="00217340"/>
    <w:rsid w:val="00222B6B"/>
    <w:rsid w:val="00223452"/>
    <w:rsid w:val="00225AAA"/>
    <w:rsid w:val="00226366"/>
    <w:rsid w:val="002551EC"/>
    <w:rsid w:val="00273E3C"/>
    <w:rsid w:val="002911A8"/>
    <w:rsid w:val="00296B4F"/>
    <w:rsid w:val="002C5209"/>
    <w:rsid w:val="002D4942"/>
    <w:rsid w:val="002D7D17"/>
    <w:rsid w:val="002F0D96"/>
    <w:rsid w:val="003069F5"/>
    <w:rsid w:val="00307D1E"/>
    <w:rsid w:val="00320008"/>
    <w:rsid w:val="003215EB"/>
    <w:rsid w:val="00322722"/>
    <w:rsid w:val="00344972"/>
    <w:rsid w:val="00375975"/>
    <w:rsid w:val="00391906"/>
    <w:rsid w:val="00395CB1"/>
    <w:rsid w:val="003A0F0E"/>
    <w:rsid w:val="003C09A8"/>
    <w:rsid w:val="003C6096"/>
    <w:rsid w:val="003D12C5"/>
    <w:rsid w:val="003D472A"/>
    <w:rsid w:val="003E2AB9"/>
    <w:rsid w:val="00401C6E"/>
    <w:rsid w:val="004121CD"/>
    <w:rsid w:val="0043252D"/>
    <w:rsid w:val="00437D8C"/>
    <w:rsid w:val="0044019A"/>
    <w:rsid w:val="00480079"/>
    <w:rsid w:val="004B6EFF"/>
    <w:rsid w:val="004B7669"/>
    <w:rsid w:val="004C65B4"/>
    <w:rsid w:val="004C685E"/>
    <w:rsid w:val="004D44FE"/>
    <w:rsid w:val="004E3CF1"/>
    <w:rsid w:val="004E4D70"/>
    <w:rsid w:val="004F0BB3"/>
    <w:rsid w:val="004F561E"/>
    <w:rsid w:val="004F5B3A"/>
    <w:rsid w:val="00503FD3"/>
    <w:rsid w:val="00513C87"/>
    <w:rsid w:val="00524D11"/>
    <w:rsid w:val="00536C78"/>
    <w:rsid w:val="00542D94"/>
    <w:rsid w:val="00546F46"/>
    <w:rsid w:val="00553BAE"/>
    <w:rsid w:val="00555906"/>
    <w:rsid w:val="0056184F"/>
    <w:rsid w:val="005670FC"/>
    <w:rsid w:val="00574066"/>
    <w:rsid w:val="00577E9F"/>
    <w:rsid w:val="005A7F39"/>
    <w:rsid w:val="005B0F0C"/>
    <w:rsid w:val="005B7B2E"/>
    <w:rsid w:val="005C2E23"/>
    <w:rsid w:val="00605D50"/>
    <w:rsid w:val="00612D20"/>
    <w:rsid w:val="00630E2C"/>
    <w:rsid w:val="00634240"/>
    <w:rsid w:val="00637535"/>
    <w:rsid w:val="00637A7F"/>
    <w:rsid w:val="00652D3B"/>
    <w:rsid w:val="00653777"/>
    <w:rsid w:val="00672E58"/>
    <w:rsid w:val="00674126"/>
    <w:rsid w:val="006910D4"/>
    <w:rsid w:val="00694F90"/>
    <w:rsid w:val="006977C0"/>
    <w:rsid w:val="006A08B9"/>
    <w:rsid w:val="006B55E8"/>
    <w:rsid w:val="006C4177"/>
    <w:rsid w:val="006D1434"/>
    <w:rsid w:val="006D3442"/>
    <w:rsid w:val="006D3A3E"/>
    <w:rsid w:val="006E247A"/>
    <w:rsid w:val="006E7986"/>
    <w:rsid w:val="006F5401"/>
    <w:rsid w:val="00701AB0"/>
    <w:rsid w:val="0070615C"/>
    <w:rsid w:val="00714B91"/>
    <w:rsid w:val="0075739E"/>
    <w:rsid w:val="00760102"/>
    <w:rsid w:val="00781DBF"/>
    <w:rsid w:val="00782DF8"/>
    <w:rsid w:val="0079609F"/>
    <w:rsid w:val="007B05EA"/>
    <w:rsid w:val="007C027B"/>
    <w:rsid w:val="007D517D"/>
    <w:rsid w:val="007D52F3"/>
    <w:rsid w:val="007D5A7F"/>
    <w:rsid w:val="007E0E97"/>
    <w:rsid w:val="007F5328"/>
    <w:rsid w:val="007F7F6C"/>
    <w:rsid w:val="00803F49"/>
    <w:rsid w:val="008040F6"/>
    <w:rsid w:val="0081434B"/>
    <w:rsid w:val="0081435D"/>
    <w:rsid w:val="00832371"/>
    <w:rsid w:val="008348E7"/>
    <w:rsid w:val="00841814"/>
    <w:rsid w:val="008C1EA9"/>
    <w:rsid w:val="008C31A7"/>
    <w:rsid w:val="008D13C6"/>
    <w:rsid w:val="008E5135"/>
    <w:rsid w:val="0091233F"/>
    <w:rsid w:val="00916524"/>
    <w:rsid w:val="00925CEC"/>
    <w:rsid w:val="00947267"/>
    <w:rsid w:val="00955A18"/>
    <w:rsid w:val="00956D96"/>
    <w:rsid w:val="00970B1F"/>
    <w:rsid w:val="009730C3"/>
    <w:rsid w:val="00986B60"/>
    <w:rsid w:val="00997973"/>
    <w:rsid w:val="009B4BAB"/>
    <w:rsid w:val="009C5245"/>
    <w:rsid w:val="009C6EE9"/>
    <w:rsid w:val="00A03C06"/>
    <w:rsid w:val="00A60D81"/>
    <w:rsid w:val="00A63273"/>
    <w:rsid w:val="00A648E8"/>
    <w:rsid w:val="00A64FDF"/>
    <w:rsid w:val="00A8065E"/>
    <w:rsid w:val="00A839A8"/>
    <w:rsid w:val="00AB1DF1"/>
    <w:rsid w:val="00AC52BF"/>
    <w:rsid w:val="00AE0348"/>
    <w:rsid w:val="00AE7613"/>
    <w:rsid w:val="00AF4007"/>
    <w:rsid w:val="00AF6831"/>
    <w:rsid w:val="00B17F2B"/>
    <w:rsid w:val="00B241DD"/>
    <w:rsid w:val="00B26202"/>
    <w:rsid w:val="00B26C48"/>
    <w:rsid w:val="00B37C71"/>
    <w:rsid w:val="00B4034C"/>
    <w:rsid w:val="00B41857"/>
    <w:rsid w:val="00B52F04"/>
    <w:rsid w:val="00B60AC1"/>
    <w:rsid w:val="00B70641"/>
    <w:rsid w:val="00B87F00"/>
    <w:rsid w:val="00BB32D4"/>
    <w:rsid w:val="00BC548C"/>
    <w:rsid w:val="00BD1273"/>
    <w:rsid w:val="00BD63EF"/>
    <w:rsid w:val="00BE4B1D"/>
    <w:rsid w:val="00BF10C1"/>
    <w:rsid w:val="00BF17AE"/>
    <w:rsid w:val="00C154F8"/>
    <w:rsid w:val="00C15F40"/>
    <w:rsid w:val="00C2382E"/>
    <w:rsid w:val="00C43B94"/>
    <w:rsid w:val="00C77135"/>
    <w:rsid w:val="00CB0CB8"/>
    <w:rsid w:val="00CB60FF"/>
    <w:rsid w:val="00CB633C"/>
    <w:rsid w:val="00CD1D15"/>
    <w:rsid w:val="00CF0015"/>
    <w:rsid w:val="00CF5B99"/>
    <w:rsid w:val="00D139E4"/>
    <w:rsid w:val="00D24070"/>
    <w:rsid w:val="00D25FAB"/>
    <w:rsid w:val="00D34236"/>
    <w:rsid w:val="00D37C6F"/>
    <w:rsid w:val="00D40FE8"/>
    <w:rsid w:val="00D55024"/>
    <w:rsid w:val="00D55EED"/>
    <w:rsid w:val="00D76091"/>
    <w:rsid w:val="00D83626"/>
    <w:rsid w:val="00D952CA"/>
    <w:rsid w:val="00DA648F"/>
    <w:rsid w:val="00DC7162"/>
    <w:rsid w:val="00DD08B4"/>
    <w:rsid w:val="00DD0AF3"/>
    <w:rsid w:val="00DD7BBA"/>
    <w:rsid w:val="00DF29FF"/>
    <w:rsid w:val="00E0034A"/>
    <w:rsid w:val="00E11E29"/>
    <w:rsid w:val="00E33B5F"/>
    <w:rsid w:val="00E708C2"/>
    <w:rsid w:val="00E771E5"/>
    <w:rsid w:val="00EA3208"/>
    <w:rsid w:val="00EA7B23"/>
    <w:rsid w:val="00EB7476"/>
    <w:rsid w:val="00EC506D"/>
    <w:rsid w:val="00EF547B"/>
    <w:rsid w:val="00F11AD2"/>
    <w:rsid w:val="00F16787"/>
    <w:rsid w:val="00F16F58"/>
    <w:rsid w:val="00F21D18"/>
    <w:rsid w:val="00F22B94"/>
    <w:rsid w:val="00F22E22"/>
    <w:rsid w:val="00F34A91"/>
    <w:rsid w:val="00F83152"/>
    <w:rsid w:val="00F8652D"/>
    <w:rsid w:val="00F878DE"/>
    <w:rsid w:val="00F93661"/>
    <w:rsid w:val="00F956A1"/>
    <w:rsid w:val="00FA6310"/>
    <w:rsid w:val="00FB38B2"/>
    <w:rsid w:val="00FC1978"/>
    <w:rsid w:val="00FC29B2"/>
    <w:rsid w:val="00FC5549"/>
    <w:rsid w:val="00FD5AE4"/>
    <w:rsid w:val="00FD6DE7"/>
    <w:rsid w:val="027B1084"/>
    <w:rsid w:val="03CF043C"/>
    <w:rsid w:val="057972AB"/>
    <w:rsid w:val="06C05FCD"/>
    <w:rsid w:val="08B11C75"/>
    <w:rsid w:val="0B0E5EBD"/>
    <w:rsid w:val="0B9C30A6"/>
    <w:rsid w:val="0C636C54"/>
    <w:rsid w:val="10AE7F7F"/>
    <w:rsid w:val="11547772"/>
    <w:rsid w:val="12AD3987"/>
    <w:rsid w:val="149D62F8"/>
    <w:rsid w:val="17C57D34"/>
    <w:rsid w:val="19793ED0"/>
    <w:rsid w:val="1A0D1A36"/>
    <w:rsid w:val="23BF33F4"/>
    <w:rsid w:val="24CD2E97"/>
    <w:rsid w:val="25194E31"/>
    <w:rsid w:val="2D6D0CF1"/>
    <w:rsid w:val="2F6D06B3"/>
    <w:rsid w:val="2F7A5EF2"/>
    <w:rsid w:val="325D3DFA"/>
    <w:rsid w:val="343777D3"/>
    <w:rsid w:val="38B76007"/>
    <w:rsid w:val="45C41554"/>
    <w:rsid w:val="4A4179BD"/>
    <w:rsid w:val="4D4168A5"/>
    <w:rsid w:val="4E1A5F34"/>
    <w:rsid w:val="4F485D60"/>
    <w:rsid w:val="531F573D"/>
    <w:rsid w:val="533F4C1D"/>
    <w:rsid w:val="55090D36"/>
    <w:rsid w:val="56900687"/>
    <w:rsid w:val="5B094A6D"/>
    <w:rsid w:val="5E6246ED"/>
    <w:rsid w:val="5F4A7FEA"/>
    <w:rsid w:val="606D44CF"/>
    <w:rsid w:val="643709A5"/>
    <w:rsid w:val="6A0067D8"/>
    <w:rsid w:val="6B1E1B49"/>
    <w:rsid w:val="6E5D2598"/>
    <w:rsid w:val="7599494C"/>
    <w:rsid w:val="7C4051E3"/>
    <w:rsid w:val="7DBA1955"/>
    <w:rsid w:val="7FC63F26"/>
    <w:rsid w:val="7FD520C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0"/>
    <w:pPr>
      <w:keepNext/>
      <w:keepLines/>
      <w:numPr>
        <w:ilvl w:val="0"/>
        <w:numId w:val="1"/>
      </w:numPr>
      <w:spacing w:before="120" w:after="120" w:line="360" w:lineRule="auto"/>
      <w:outlineLvl w:val="0"/>
    </w:pPr>
    <w:rPr>
      <w:b/>
      <w:bCs/>
      <w:kern w:val="44"/>
      <w:sz w:val="32"/>
      <w:szCs w:val="28"/>
    </w:rPr>
  </w:style>
  <w:style w:type="paragraph" w:styleId="3">
    <w:name w:val="heading 2"/>
    <w:basedOn w:val="1"/>
    <w:next w:val="1"/>
    <w:link w:val="31"/>
    <w:qFormat/>
    <w:uiPriority w:val="0"/>
    <w:pPr>
      <w:keepNext/>
      <w:keepLines/>
      <w:numPr>
        <w:ilvl w:val="1"/>
        <w:numId w:val="1"/>
      </w:numPr>
      <w:spacing w:before="120" w:after="120" w:line="360" w:lineRule="auto"/>
      <w:outlineLvl w:val="1"/>
    </w:pPr>
    <w:rPr>
      <w:b/>
      <w:bCs/>
      <w:sz w:val="30"/>
      <w:szCs w:val="32"/>
    </w:rPr>
  </w:style>
  <w:style w:type="paragraph" w:styleId="4">
    <w:name w:val="heading 3"/>
    <w:basedOn w:val="1"/>
    <w:next w:val="1"/>
    <w:link w:val="32"/>
    <w:qFormat/>
    <w:uiPriority w:val="0"/>
    <w:pPr>
      <w:keepNext/>
      <w:keepLines/>
      <w:numPr>
        <w:ilvl w:val="2"/>
        <w:numId w:val="1"/>
      </w:numPr>
      <w:spacing w:before="120" w:after="120" w:line="360" w:lineRule="auto"/>
      <w:outlineLvl w:val="2"/>
    </w:pPr>
    <w:rPr>
      <w:b/>
      <w:bCs/>
      <w:sz w:val="28"/>
      <w:szCs w:val="18"/>
    </w:rPr>
  </w:style>
  <w:style w:type="paragraph" w:styleId="5">
    <w:name w:val="heading 4"/>
    <w:basedOn w:val="1"/>
    <w:next w:val="1"/>
    <w:link w:val="33"/>
    <w:qFormat/>
    <w:uiPriority w:val="0"/>
    <w:pPr>
      <w:keepNext/>
      <w:keepLines/>
      <w:numPr>
        <w:ilvl w:val="3"/>
        <w:numId w:val="1"/>
      </w:numPr>
      <w:spacing w:before="120" w:after="120" w:line="360" w:lineRule="auto"/>
      <w:outlineLvl w:val="3"/>
    </w:pPr>
    <w:rPr>
      <w:b/>
      <w:bCs/>
      <w:sz w:val="24"/>
      <w:szCs w:val="28"/>
    </w:rPr>
  </w:style>
  <w:style w:type="paragraph" w:styleId="6">
    <w:name w:val="heading 5"/>
    <w:basedOn w:val="1"/>
    <w:next w:val="1"/>
    <w:link w:val="34"/>
    <w:unhideWhenUsed/>
    <w:qFormat/>
    <w:uiPriority w:val="0"/>
    <w:pPr>
      <w:keepNext/>
      <w:keepLines/>
      <w:numPr>
        <w:ilvl w:val="4"/>
        <w:numId w:val="1"/>
      </w:numPr>
      <w:spacing w:before="120" w:after="120" w:line="360" w:lineRule="auto"/>
      <w:outlineLvl w:val="4"/>
    </w:pPr>
    <w:rPr>
      <w:b/>
      <w:bCs/>
      <w:szCs w:val="28"/>
    </w:rPr>
  </w:style>
  <w:style w:type="paragraph" w:styleId="7">
    <w:name w:val="heading 6"/>
    <w:basedOn w:val="1"/>
    <w:next w:val="1"/>
    <w:link w:val="35"/>
    <w:unhideWhenUsed/>
    <w:qFormat/>
    <w:uiPriority w:val="0"/>
    <w:pPr>
      <w:keepNext/>
      <w:keepLines/>
      <w:numPr>
        <w:ilvl w:val="5"/>
        <w:numId w:val="1"/>
      </w:numPr>
      <w:spacing w:before="120" w:after="120" w:line="360" w:lineRule="auto"/>
      <w:outlineLvl w:val="5"/>
    </w:pPr>
    <w:rPr>
      <w:rFonts w:ascii="Cambria" w:hAnsi="Cambria"/>
      <w:b/>
      <w:bCs/>
      <w:sz w:val="24"/>
    </w:rPr>
  </w:style>
  <w:style w:type="character" w:default="1" w:styleId="27">
    <w:name w:val="Default Paragraph Font"/>
    <w:semiHidden/>
    <w:unhideWhenUsed/>
    <w:uiPriority w:val="1"/>
  </w:style>
  <w:style w:type="table" w:default="1" w:styleId="2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toc 7"/>
    <w:basedOn w:val="1"/>
    <w:next w:val="1"/>
    <w:unhideWhenUsed/>
    <w:qFormat/>
    <w:uiPriority w:val="39"/>
    <w:pPr>
      <w:ind w:left="1260"/>
      <w:jc w:val="left"/>
    </w:pPr>
    <w:rPr>
      <w:rFonts w:ascii="Calibri" w:hAnsi="Calibri" w:cs="Calibri"/>
      <w:sz w:val="18"/>
      <w:szCs w:val="18"/>
    </w:rPr>
  </w:style>
  <w:style w:type="paragraph" w:styleId="9">
    <w:name w:val="Document Map"/>
    <w:basedOn w:val="1"/>
    <w:link w:val="45"/>
    <w:unhideWhenUsed/>
    <w:qFormat/>
    <w:uiPriority w:val="99"/>
    <w:rPr>
      <w:rFonts w:ascii="宋体"/>
      <w:sz w:val="18"/>
      <w:szCs w:val="18"/>
    </w:rPr>
  </w:style>
  <w:style w:type="paragraph" w:styleId="10">
    <w:name w:val="annotation text"/>
    <w:basedOn w:val="1"/>
    <w:link w:val="47"/>
    <w:unhideWhenUsed/>
    <w:qFormat/>
    <w:uiPriority w:val="99"/>
    <w:pPr>
      <w:jc w:val="left"/>
    </w:pPr>
  </w:style>
  <w:style w:type="paragraph" w:styleId="11">
    <w:name w:val="Body Text Indent"/>
    <w:basedOn w:val="1"/>
    <w:link w:val="38"/>
    <w:qFormat/>
    <w:uiPriority w:val="0"/>
    <w:pPr>
      <w:spacing w:after="120"/>
      <w:ind w:left="420" w:leftChars="200"/>
    </w:pPr>
  </w:style>
  <w:style w:type="paragraph" w:styleId="12">
    <w:name w:val="toc 5"/>
    <w:basedOn w:val="1"/>
    <w:next w:val="1"/>
    <w:unhideWhenUsed/>
    <w:qFormat/>
    <w:uiPriority w:val="39"/>
    <w:pPr>
      <w:ind w:left="840"/>
      <w:jc w:val="left"/>
    </w:pPr>
    <w:rPr>
      <w:rFonts w:ascii="Calibri" w:hAnsi="Calibri" w:cs="Calibri"/>
      <w:sz w:val="18"/>
      <w:szCs w:val="18"/>
    </w:rPr>
  </w:style>
  <w:style w:type="paragraph" w:styleId="13">
    <w:name w:val="toc 3"/>
    <w:basedOn w:val="1"/>
    <w:next w:val="1"/>
    <w:unhideWhenUsed/>
    <w:qFormat/>
    <w:uiPriority w:val="39"/>
    <w:pPr>
      <w:ind w:left="680"/>
      <w:jc w:val="left"/>
    </w:pPr>
    <w:rPr>
      <w:rFonts w:cs="Calibri"/>
      <w:iCs/>
      <w:szCs w:val="20"/>
    </w:rPr>
  </w:style>
  <w:style w:type="paragraph" w:styleId="14">
    <w:name w:val="toc 8"/>
    <w:basedOn w:val="1"/>
    <w:next w:val="1"/>
    <w:unhideWhenUsed/>
    <w:qFormat/>
    <w:uiPriority w:val="39"/>
    <w:pPr>
      <w:ind w:left="1470"/>
      <w:jc w:val="left"/>
    </w:pPr>
    <w:rPr>
      <w:rFonts w:ascii="Calibri" w:hAnsi="Calibri" w:cs="Calibri"/>
      <w:sz w:val="18"/>
      <w:szCs w:val="18"/>
    </w:rPr>
  </w:style>
  <w:style w:type="paragraph" w:styleId="15">
    <w:name w:val="Date"/>
    <w:basedOn w:val="1"/>
    <w:next w:val="1"/>
    <w:link w:val="52"/>
    <w:semiHidden/>
    <w:unhideWhenUsed/>
    <w:qFormat/>
    <w:uiPriority w:val="99"/>
    <w:pPr>
      <w:ind w:left="100" w:leftChars="2500"/>
    </w:pPr>
  </w:style>
  <w:style w:type="paragraph" w:styleId="16">
    <w:name w:val="Balloon Text"/>
    <w:basedOn w:val="1"/>
    <w:link w:val="42"/>
    <w:unhideWhenUsed/>
    <w:qFormat/>
    <w:uiPriority w:val="99"/>
    <w:rPr>
      <w:sz w:val="18"/>
      <w:szCs w:val="18"/>
    </w:rPr>
  </w:style>
  <w:style w:type="paragraph" w:styleId="17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8">
    <w:name w:val="header"/>
    <w:basedOn w:val="1"/>
    <w:link w:val="3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9">
    <w:name w:val="toc 1"/>
    <w:basedOn w:val="1"/>
    <w:next w:val="1"/>
    <w:unhideWhenUsed/>
    <w:qFormat/>
    <w:uiPriority w:val="39"/>
    <w:pPr>
      <w:ind w:left="200" w:hanging="200" w:hangingChars="200"/>
      <w:jc w:val="left"/>
    </w:pPr>
    <w:rPr>
      <w:rFonts w:cs="Calibri"/>
      <w:bCs/>
      <w:caps/>
      <w:szCs w:val="20"/>
    </w:rPr>
  </w:style>
  <w:style w:type="paragraph" w:styleId="20">
    <w:name w:val="toc 4"/>
    <w:basedOn w:val="1"/>
    <w:next w:val="1"/>
    <w:unhideWhenUsed/>
    <w:qFormat/>
    <w:uiPriority w:val="39"/>
    <w:pPr>
      <w:ind w:left="1361"/>
      <w:jc w:val="left"/>
    </w:pPr>
    <w:rPr>
      <w:rFonts w:cs="Calibri"/>
      <w:szCs w:val="18"/>
    </w:rPr>
  </w:style>
  <w:style w:type="paragraph" w:styleId="21">
    <w:name w:val="toc 6"/>
    <w:basedOn w:val="1"/>
    <w:next w:val="1"/>
    <w:unhideWhenUsed/>
    <w:qFormat/>
    <w:uiPriority w:val="39"/>
    <w:pPr>
      <w:ind w:left="1050"/>
      <w:jc w:val="left"/>
    </w:pPr>
    <w:rPr>
      <w:rFonts w:ascii="Calibri" w:hAnsi="Calibri" w:cs="Calibri"/>
      <w:sz w:val="18"/>
      <w:szCs w:val="18"/>
    </w:rPr>
  </w:style>
  <w:style w:type="paragraph" w:styleId="22">
    <w:name w:val="toc 2"/>
    <w:basedOn w:val="1"/>
    <w:next w:val="1"/>
    <w:unhideWhenUsed/>
    <w:qFormat/>
    <w:uiPriority w:val="39"/>
    <w:pPr>
      <w:tabs>
        <w:tab w:val="right" w:leader="dot" w:pos="8296"/>
      </w:tabs>
      <w:ind w:left="340"/>
      <w:jc w:val="left"/>
    </w:pPr>
    <w:rPr>
      <w:rFonts w:cs="Calibri"/>
      <w:smallCaps/>
      <w:szCs w:val="20"/>
    </w:rPr>
  </w:style>
  <w:style w:type="paragraph" w:styleId="23">
    <w:name w:val="toc 9"/>
    <w:basedOn w:val="1"/>
    <w:next w:val="1"/>
    <w:unhideWhenUsed/>
    <w:qFormat/>
    <w:uiPriority w:val="39"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24">
    <w:name w:val="Title"/>
    <w:basedOn w:val="1"/>
    <w:next w:val="1"/>
    <w:link w:val="44"/>
    <w:qFormat/>
    <w:uiPriority w:val="10"/>
    <w:pPr>
      <w:spacing w:before="240" w:after="60" w:line="960" w:lineRule="auto"/>
      <w:jc w:val="center"/>
    </w:pPr>
    <w:rPr>
      <w:rFonts w:ascii="Cambria" w:hAnsi="Cambria" w:eastAsia="黑体"/>
      <w:b/>
      <w:bCs/>
      <w:sz w:val="52"/>
      <w:szCs w:val="32"/>
    </w:rPr>
  </w:style>
  <w:style w:type="paragraph" w:styleId="25">
    <w:name w:val="annotation subject"/>
    <w:basedOn w:val="10"/>
    <w:next w:val="10"/>
    <w:link w:val="48"/>
    <w:unhideWhenUsed/>
    <w:qFormat/>
    <w:uiPriority w:val="99"/>
    <w:rPr>
      <w:b/>
      <w:bCs/>
    </w:rPr>
  </w:style>
  <w:style w:type="character" w:styleId="28">
    <w:name w:val="Hyperlink"/>
    <w:basedOn w:val="27"/>
    <w:unhideWhenUsed/>
    <w:qFormat/>
    <w:uiPriority w:val="99"/>
    <w:rPr>
      <w:color w:val="0000FF"/>
      <w:u w:val="single"/>
    </w:rPr>
  </w:style>
  <w:style w:type="character" w:styleId="29">
    <w:name w:val="annotation reference"/>
    <w:basedOn w:val="27"/>
    <w:unhideWhenUsed/>
    <w:qFormat/>
    <w:uiPriority w:val="99"/>
    <w:rPr>
      <w:sz w:val="21"/>
      <w:szCs w:val="21"/>
    </w:rPr>
  </w:style>
  <w:style w:type="character" w:customStyle="1" w:styleId="30">
    <w:name w:val="标题 1 Char"/>
    <w:basedOn w:val="27"/>
    <w:link w:val="2"/>
    <w:qFormat/>
    <w:uiPriority w:val="0"/>
    <w:rPr>
      <w:rFonts w:ascii="Times New Roman" w:hAnsi="Times New Roman" w:eastAsia="宋体" w:cs="Times New Roman"/>
      <w:b/>
      <w:bCs/>
      <w:kern w:val="44"/>
      <w:sz w:val="32"/>
      <w:szCs w:val="28"/>
    </w:rPr>
  </w:style>
  <w:style w:type="character" w:customStyle="1" w:styleId="31">
    <w:name w:val="标题 2 Char"/>
    <w:basedOn w:val="27"/>
    <w:link w:val="3"/>
    <w:qFormat/>
    <w:uiPriority w:val="0"/>
    <w:rPr>
      <w:rFonts w:ascii="Times New Roman" w:hAnsi="Times New Roman" w:eastAsia="宋体" w:cs="Times New Roman"/>
      <w:b/>
      <w:bCs/>
      <w:kern w:val="2"/>
      <w:sz w:val="30"/>
      <w:szCs w:val="32"/>
    </w:rPr>
  </w:style>
  <w:style w:type="character" w:customStyle="1" w:styleId="32">
    <w:name w:val="标题 3 Char"/>
    <w:basedOn w:val="27"/>
    <w:link w:val="4"/>
    <w:autoRedefine/>
    <w:qFormat/>
    <w:uiPriority w:val="0"/>
    <w:rPr>
      <w:rFonts w:ascii="Times New Roman" w:hAnsi="Times New Roman" w:eastAsia="宋体" w:cs="Times New Roman"/>
      <w:b/>
      <w:bCs/>
      <w:kern w:val="2"/>
      <w:sz w:val="28"/>
      <w:szCs w:val="18"/>
    </w:rPr>
  </w:style>
  <w:style w:type="character" w:customStyle="1" w:styleId="33">
    <w:name w:val="标题 4 Char"/>
    <w:basedOn w:val="27"/>
    <w:link w:val="5"/>
    <w:autoRedefine/>
    <w:qFormat/>
    <w:uiPriority w:val="0"/>
    <w:rPr>
      <w:rFonts w:ascii="Times New Roman" w:hAnsi="Times New Roman" w:eastAsia="宋体" w:cs="Times New Roman"/>
      <w:b/>
      <w:bCs/>
      <w:kern w:val="2"/>
      <w:sz w:val="24"/>
      <w:szCs w:val="28"/>
    </w:rPr>
  </w:style>
  <w:style w:type="character" w:customStyle="1" w:styleId="34">
    <w:name w:val="标题 5 Char"/>
    <w:basedOn w:val="27"/>
    <w:link w:val="6"/>
    <w:qFormat/>
    <w:uiPriority w:val="0"/>
    <w:rPr>
      <w:rFonts w:ascii="Times New Roman" w:hAnsi="Times New Roman" w:eastAsia="宋体" w:cs="Times New Roman"/>
      <w:b/>
      <w:bCs/>
      <w:kern w:val="2"/>
      <w:sz w:val="21"/>
      <w:szCs w:val="28"/>
    </w:rPr>
  </w:style>
  <w:style w:type="character" w:customStyle="1" w:styleId="35">
    <w:name w:val="标题 6 Char"/>
    <w:basedOn w:val="27"/>
    <w:link w:val="7"/>
    <w:autoRedefine/>
    <w:qFormat/>
    <w:uiPriority w:val="0"/>
    <w:rPr>
      <w:rFonts w:ascii="Cambria" w:hAnsi="Cambria" w:eastAsia="宋体" w:cs="Times New Roman"/>
      <w:b/>
      <w:bCs/>
      <w:kern w:val="2"/>
      <w:sz w:val="24"/>
      <w:szCs w:val="24"/>
    </w:rPr>
  </w:style>
  <w:style w:type="character" w:customStyle="1" w:styleId="36">
    <w:name w:val="页眉 Char"/>
    <w:basedOn w:val="27"/>
    <w:link w:val="1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7">
    <w:name w:val="页脚 Char"/>
    <w:basedOn w:val="27"/>
    <w:link w:val="1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8">
    <w:name w:val="正文文本缩进 Char"/>
    <w:basedOn w:val="27"/>
    <w:link w:val="11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39">
    <w:name w:val="标题6"/>
    <w:basedOn w:val="7"/>
    <w:link w:val="41"/>
    <w:qFormat/>
    <w:uiPriority w:val="0"/>
    <w:pPr>
      <w:ind w:left="0" w:firstLine="0"/>
    </w:pPr>
    <w:rPr>
      <w:rFonts w:ascii="Times New Roman" w:hAnsi="Times New Roman"/>
      <w:b w:val="0"/>
      <w:sz w:val="21"/>
    </w:rPr>
  </w:style>
  <w:style w:type="paragraph" w:customStyle="1" w:styleId="40">
    <w:name w:val="列出段落1"/>
    <w:basedOn w:val="1"/>
    <w:qFormat/>
    <w:uiPriority w:val="34"/>
    <w:pPr>
      <w:ind w:firstLine="420" w:firstLineChars="200"/>
    </w:pPr>
  </w:style>
  <w:style w:type="character" w:customStyle="1" w:styleId="41">
    <w:name w:val="标题6 Char"/>
    <w:basedOn w:val="35"/>
    <w:link w:val="39"/>
    <w:autoRedefine/>
    <w:qFormat/>
    <w:uiPriority w:val="0"/>
    <w:rPr>
      <w:rFonts w:ascii="Times New Roman" w:hAnsi="Times New Roman" w:eastAsia="宋体" w:cs="Times New Roman"/>
      <w:b w:val="0"/>
      <w:kern w:val="2"/>
      <w:sz w:val="21"/>
      <w:szCs w:val="24"/>
    </w:rPr>
  </w:style>
  <w:style w:type="character" w:customStyle="1" w:styleId="42">
    <w:name w:val="批注框文本 Char"/>
    <w:basedOn w:val="27"/>
    <w:link w:val="1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3">
    <w:name w:val="TOC 标题1"/>
    <w:basedOn w:val="2"/>
    <w:next w:val="1"/>
    <w:unhideWhenUsed/>
    <w:qFormat/>
    <w:uiPriority w:val="39"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</w:rPr>
  </w:style>
  <w:style w:type="character" w:customStyle="1" w:styleId="44">
    <w:name w:val="标题 Char"/>
    <w:basedOn w:val="27"/>
    <w:link w:val="24"/>
    <w:qFormat/>
    <w:uiPriority w:val="10"/>
    <w:rPr>
      <w:rFonts w:ascii="Cambria" w:hAnsi="Cambria" w:eastAsia="黑体" w:cs="Times New Roman"/>
      <w:b/>
      <w:bCs/>
      <w:sz w:val="52"/>
      <w:szCs w:val="32"/>
    </w:rPr>
  </w:style>
  <w:style w:type="character" w:customStyle="1" w:styleId="45">
    <w:name w:val="文档结构图 Char"/>
    <w:basedOn w:val="27"/>
    <w:link w:val="9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46">
    <w:name w:val="Indent Normal"/>
    <w:basedOn w:val="1"/>
    <w:qFormat/>
    <w:uiPriority w:val="0"/>
    <w:pPr>
      <w:spacing w:line="360" w:lineRule="auto"/>
      <w:ind w:firstLine="150" w:firstLineChars="150"/>
    </w:pPr>
    <w:rPr>
      <w:sz w:val="24"/>
    </w:rPr>
  </w:style>
  <w:style w:type="character" w:customStyle="1" w:styleId="47">
    <w:name w:val="批注文字 Char"/>
    <w:basedOn w:val="27"/>
    <w:link w:val="10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8">
    <w:name w:val="批注主题 Char"/>
    <w:basedOn w:val="47"/>
    <w:link w:val="25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customStyle="1" w:styleId="49">
    <w:name w:val="样式1"/>
    <w:basedOn w:val="1"/>
    <w:link w:val="50"/>
    <w:qFormat/>
    <w:uiPriority w:val="0"/>
    <w:pPr>
      <w:spacing w:line="300" w:lineRule="auto"/>
      <w:ind w:firstLine="480" w:firstLineChars="200"/>
      <w:jc w:val="left"/>
    </w:pPr>
    <w:rPr>
      <w:sz w:val="24"/>
    </w:rPr>
  </w:style>
  <w:style w:type="character" w:customStyle="1" w:styleId="50">
    <w:name w:val="样式1 Char"/>
    <w:link w:val="49"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customStyle="1" w:styleId="51">
    <w:name w:val="无间隔1"/>
    <w:qFormat/>
    <w:uiPriority w:val="1"/>
    <w:pPr>
      <w:widowControl w:val="0"/>
      <w:spacing w:line="360" w:lineRule="auto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52">
    <w:name w:val="日期 Char"/>
    <w:basedOn w:val="27"/>
    <w:link w:val="15"/>
    <w:semiHidden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  <w:style w:type="paragraph" w:styleId="5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C74B0-0B0B-45CA-9146-355DDA4570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5</Pages>
  <Words>131</Words>
  <Characters>750</Characters>
  <Lines>6</Lines>
  <Paragraphs>1</Paragraphs>
  <TotalTime>67</TotalTime>
  <ScaleCrop>false</ScaleCrop>
  <LinksUpToDate>false</LinksUpToDate>
  <CharactersWithSpaces>880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2014-05-06T06:50:00Z</dcterms:created>
  <dc:creator>NTKO</dc:creator>
  <cp:lastModifiedBy>淡酒。</cp:lastModifiedBy>
  <dcterms:modified xsi:type="dcterms:W3CDTF">2024-04-25T09:47:25Z</dcterms:modified>
  <cp:revision>180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6B94016902CE4AA2B2CB1808262A1894</vt:lpwstr>
  </property>
</Properties>
</file>