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252"/>
        <w:spacing w:before="325" w:line="219" w:lineRule="auto"/>
        <w:outlineLvl w:val="0"/>
        <w:rPr>
          <w:rFonts w:ascii="SimSun" w:hAnsi="SimSun" w:eastAsia="SimSun" w:cs="SimSun"/>
          <w:sz w:val="100"/>
          <w:szCs w:val="100"/>
        </w:rPr>
      </w:pPr>
      <w:r>
        <w:pict>
          <v:shape id="_x0000_s2" style="position:absolute;margin-left:363.721pt;margin-top:38.1635pt;mso-position-vertical-relative:text;mso-position-horizontal-relative:text;width:63.5pt;height:87.95pt;z-index:251658240;" fillcolor="#EB4B5B" filled="true" strokecolor="#EB4B5B" strokeweight="2.52pt" type="#_x0000_t136">
            <v:stroke joinstyle="miter" miterlimit="10"/>
            <v:textpath style="font-family:&quot;SimSun&quot;;font-size:88;font-weight:bold;v-text-kern:t;mso-text-shadow:auto" string="文件"/>
          </v:shape>
        </w:pict>
      </w:r>
      <w:r>
        <w:rPr>
          <w:rFonts w:ascii="SimSun" w:hAnsi="SimSun" w:eastAsia="SimSun" w:cs="SimSun"/>
          <w:sz w:val="100"/>
          <w:szCs w:val="100"/>
          <w:b/>
          <w:bCs/>
          <w:color w:val="F3142B"/>
          <w:spacing w:val="-85"/>
          <w:w w:val="96"/>
        </w:rPr>
        <w:t>甘肃省医疗保障局</w:t>
      </w:r>
    </w:p>
    <w:p>
      <w:pPr>
        <w:ind w:left="264"/>
        <w:spacing w:before="213" w:line="219" w:lineRule="auto"/>
        <w:rPr>
          <w:rFonts w:ascii="SimSun" w:hAnsi="SimSun" w:eastAsia="SimSun" w:cs="SimSun"/>
          <w:sz w:val="101"/>
          <w:szCs w:val="101"/>
        </w:rPr>
      </w:pPr>
      <w:r>
        <w:rPr>
          <w:rFonts w:ascii="SimSun" w:hAnsi="SimSun" w:eastAsia="SimSun" w:cs="SimSun"/>
          <w:sz w:val="101"/>
          <w:szCs w:val="101"/>
          <w:b/>
          <w:bCs/>
          <w:color w:val="ED0826"/>
          <w:spacing w:val="141"/>
        </w:rPr>
        <w:t>甘肃省财政厅</w: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ind w:left="2799"/>
        <w:spacing w:before="104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甘医保发〔2025〕11号</w:t>
      </w:r>
    </w:p>
    <w:p>
      <w:pPr>
        <w:spacing w:before="199" w:line="60" w:lineRule="exact"/>
        <w:rPr/>
      </w:pPr>
      <w:r>
        <w:rPr>
          <w:position w:val="-1"/>
        </w:rPr>
        <w:drawing>
          <wp:inline distT="0" distB="0" distL="0" distR="0">
            <wp:extent cx="5562566" cy="38153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62566" cy="3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10" w:lineRule="auto"/>
        <w:rPr/>
      </w:pPr>
      <w:r/>
    </w:p>
    <w:p>
      <w:pPr>
        <w:pStyle w:val="BodyText"/>
        <w:spacing w:line="310" w:lineRule="auto"/>
        <w:rPr/>
      </w:pPr>
      <w:r/>
    </w:p>
    <w:p>
      <w:pPr>
        <w:pStyle w:val="BodyText"/>
        <w:spacing w:line="310" w:lineRule="auto"/>
        <w:rPr/>
      </w:pPr>
      <w:r/>
    </w:p>
    <w:p>
      <w:pPr>
        <w:ind w:left="1106"/>
        <w:spacing w:before="143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4"/>
        </w:rPr>
        <w:t>甘肃省医疗保障局</w:t>
      </w:r>
      <w:r>
        <w:rPr>
          <w:rFonts w:ascii="SimSun" w:hAnsi="SimSun" w:eastAsia="SimSun" w:cs="SimSun"/>
          <w:sz w:val="44"/>
          <w:szCs w:val="44"/>
          <w:spacing w:val="180"/>
        </w:rPr>
        <w:t xml:space="preserve"> </w:t>
      </w:r>
      <w:r>
        <w:rPr>
          <w:rFonts w:ascii="SimSun" w:hAnsi="SimSun" w:eastAsia="SimSun" w:cs="SimSun"/>
          <w:sz w:val="44"/>
          <w:szCs w:val="44"/>
          <w:b/>
          <w:bCs/>
          <w:spacing w:val="-4"/>
        </w:rPr>
        <w:t>甘肃省财政厅</w:t>
      </w:r>
    </w:p>
    <w:p>
      <w:pPr>
        <w:ind w:left="416"/>
        <w:spacing w:before="58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5"/>
        </w:rPr>
        <w:t>关于进一步规范定点医疗机构医保预付金</w:t>
      </w:r>
    </w:p>
    <w:p>
      <w:pPr>
        <w:ind w:left="3276"/>
        <w:spacing w:before="61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3"/>
        </w:rPr>
        <w:t>管理的通知</w:t>
      </w:r>
    </w:p>
    <w:p>
      <w:pPr>
        <w:pStyle w:val="BodyText"/>
        <w:spacing w:line="347" w:lineRule="auto"/>
        <w:rPr/>
      </w:pPr>
      <w:r/>
    </w:p>
    <w:p>
      <w:pPr>
        <w:pStyle w:val="BodyText"/>
        <w:spacing w:line="347" w:lineRule="auto"/>
        <w:rPr/>
      </w:pPr>
      <w:r/>
    </w:p>
    <w:p>
      <w:pPr>
        <w:spacing w:before="104" w:line="33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各市(州)医疗保障局、财政局，甘肃矿区医疗保障局、财政局，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长庆油田社会保险中心，省医疗保障服务中心：</w:t>
      </w:r>
    </w:p>
    <w:p>
      <w:pPr>
        <w:ind w:right="57" w:firstLine="649"/>
        <w:spacing w:before="35" w:line="339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根据《国家医保局办公室财政部办公厅关于做好医保基金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预付工作的通知》(医保办函〔2024〕101号)精神，现就进一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"/>
        </w:rPr>
        <w:t>步规范完善我省定点医疗机构医保预付金制度，有关</w:t>
      </w:r>
      <w:r>
        <w:rPr>
          <w:rFonts w:ascii="FangSong" w:hAnsi="FangSong" w:eastAsia="FangSong" w:cs="FangSong"/>
          <w:sz w:val="32"/>
          <w:szCs w:val="32"/>
          <w:spacing w:val="1"/>
        </w:rPr>
        <w:t>事项通知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2"/>
        </w:rPr>
        <w:t>如下：</w:t>
      </w:r>
    </w:p>
    <w:p>
      <w:pPr>
        <w:spacing w:line="339" w:lineRule="auto"/>
        <w:sectPr>
          <w:footerReference w:type="default" r:id="rId1"/>
          <w:pgSz w:w="11900" w:h="16830"/>
          <w:pgMar w:top="1430" w:right="1630" w:bottom="2023" w:left="1450" w:header="0" w:footer="1764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pStyle w:val="BodyText"/>
        <w:spacing w:line="277" w:lineRule="auto"/>
        <w:rPr/>
      </w:pPr>
      <w:r/>
    </w:p>
    <w:p>
      <w:pPr>
        <w:ind w:left="634"/>
        <w:spacing w:before="101" w:line="222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5"/>
        </w:rPr>
        <w:t>一、把准制度内涵</w:t>
      </w:r>
    </w:p>
    <w:p>
      <w:pPr>
        <w:ind w:right="13" w:firstLine="630"/>
        <w:spacing w:before="254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9"/>
        </w:rPr>
        <w:t>基本医疗保险基金预付金(以下简称“预付金”),是为帮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助定点医疗机构缓解医疗费用垫支压力、提高医疗服务能力、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增强参保人员就医获得感而设置的预付资金。预付金用于药品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和医用耗材采购等医疗费用预付支出，不得用于医疗机构基础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建设投入、日常运行、偿还债务等非医疗费用支出，药品和医用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耗材集中带量采购医保基金专项预付按原规定执行。预付金制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度覆盖所有收治住院患者的定点医疗机构，覆盖职工医保基金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和城乡居民医保基金。</w:t>
      </w:r>
    </w:p>
    <w:p>
      <w:pPr>
        <w:ind w:right="74" w:firstLine="630"/>
        <w:spacing w:before="76" w:line="352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各统筹地区医保部门根据基本医疗保险基金结余情况，商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同级财政部门研究建立相关预付金制度，原则上该统</w:t>
      </w:r>
      <w:r>
        <w:rPr>
          <w:rFonts w:ascii="FangSong" w:hAnsi="FangSong" w:eastAsia="FangSong" w:cs="FangSong"/>
          <w:sz w:val="31"/>
          <w:szCs w:val="31"/>
          <w:spacing w:val="12"/>
        </w:rPr>
        <w:t>筹地区职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工医保统筹基金累计结余可支付月数不低于12个月可实施职工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医保统筹基金预付，居民医保基金累计结余可支付月</w:t>
      </w:r>
      <w:r>
        <w:rPr>
          <w:rFonts w:ascii="FangSong" w:hAnsi="FangSong" w:eastAsia="FangSong" w:cs="FangSong"/>
          <w:sz w:val="31"/>
          <w:szCs w:val="31"/>
          <w:spacing w:val="6"/>
        </w:rPr>
        <w:t>数不低于6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个月可实施居民医保基金预付。上年已出现当期赤字或者按照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12个月滚动测算的方法预计本年赤字的统筹地区，不能</w:t>
      </w:r>
      <w:r>
        <w:rPr>
          <w:rFonts w:ascii="FangSong" w:hAnsi="FangSong" w:eastAsia="FangSong" w:cs="FangSong"/>
          <w:sz w:val="31"/>
          <w:szCs w:val="31"/>
          <w:spacing w:val="6"/>
        </w:rPr>
        <w:t>预付。</w:t>
      </w:r>
    </w:p>
    <w:p>
      <w:pPr>
        <w:ind w:left="634"/>
        <w:spacing w:before="47" w:line="221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3"/>
        </w:rPr>
        <w:t>二、明确申请条件</w:t>
      </w:r>
    </w:p>
    <w:p>
      <w:pPr>
        <w:ind w:right="52" w:firstLine="630"/>
        <w:spacing w:before="238" w:line="35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定点医疗机构于每年度1月上旬自愿向统筹地区医保部门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申请预付金，经医保经办机构审核通过后，</w:t>
      </w:r>
      <w:r>
        <w:rPr>
          <w:rFonts w:ascii="FangSong" w:hAnsi="FangSong" w:eastAsia="FangSong" w:cs="FangSong"/>
          <w:sz w:val="31"/>
          <w:szCs w:val="31"/>
          <w:spacing w:val="11"/>
        </w:rPr>
        <w:t>由医保经办机构与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定点医疗机构签订预付金协议。申请预付金的定点医疗机构应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符合以下基本条件：</w:t>
      </w:r>
    </w:p>
    <w:p>
      <w:pPr>
        <w:ind w:right="10"/>
        <w:spacing w:before="21" w:line="221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(一)严格履行基本医疗保险定点医疗机构服务协议相关</w:t>
      </w:r>
    </w:p>
    <w:p>
      <w:pPr>
        <w:spacing w:line="221" w:lineRule="auto"/>
        <w:sectPr>
          <w:footerReference w:type="default" r:id="rId3"/>
          <w:pgSz w:w="11900" w:h="16830"/>
          <w:pgMar w:top="1430" w:right="1785" w:bottom="1837" w:left="1309" w:header="0" w:footer="153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45" w:lineRule="auto"/>
        <w:rPr/>
      </w:pPr>
      <w:r/>
    </w:p>
    <w:p>
      <w:pPr>
        <w:pStyle w:val="BodyText"/>
        <w:spacing w:line="346" w:lineRule="auto"/>
        <w:rPr/>
      </w:pPr>
      <w:r/>
    </w:p>
    <w:p>
      <w:pPr>
        <w:ind w:right="104"/>
        <w:spacing w:before="101" w:line="36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约定，基本医疗保险正常结算满一个自然年度以上，且医保绩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效考核结果为合格以上。</w:t>
      </w:r>
    </w:p>
    <w:p>
      <w:pPr>
        <w:ind w:firstLine="789"/>
        <w:spacing w:before="46" w:line="31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1"/>
        </w:rPr>
        <w:t>(二)财务管理制度健全，经营状况正常，具有偿还能力，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且医疗机构承诺无财产被保全、未履行完毕生效法律文书确认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的债务作为被执行人尚未执行终结等情形。</w:t>
      </w:r>
    </w:p>
    <w:p>
      <w:pPr>
        <w:ind w:right="62" w:firstLine="789"/>
        <w:spacing w:before="228" w:line="31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(三)积极配合医保部门落实各项医保重点工作，开展支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付方式改革、集中带量采购、国家谈判药品落地等医保重点任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务；药品耗材追溯码信息要“应扫尽扫、应传尽传”。</w:t>
      </w:r>
    </w:p>
    <w:p>
      <w:pPr>
        <w:ind w:right="91" w:firstLine="789"/>
        <w:spacing w:before="193" w:line="31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0"/>
        </w:rPr>
        <w:t>(四)积极配合医保部门开展基金监管日常检查、专项检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查、飞行检查等工作任务，12个月内无被医</w:t>
      </w:r>
      <w:r>
        <w:rPr>
          <w:rFonts w:ascii="FangSong" w:hAnsi="FangSong" w:eastAsia="FangSong" w:cs="FangSong"/>
          <w:sz w:val="31"/>
          <w:szCs w:val="31"/>
          <w:spacing w:val="12"/>
        </w:rPr>
        <w:t>保行政部门处罚或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因欺诈骗保涉嫌犯罪被移送司法机关的情形。</w:t>
      </w:r>
    </w:p>
    <w:p>
      <w:pPr>
        <w:ind w:right="76" w:firstLine="669"/>
        <w:spacing w:before="220" w:line="36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7"/>
        </w:rPr>
        <w:t>其他申请条件可由各统筹地区医保部门结合实际情况制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定。</w:t>
      </w:r>
    </w:p>
    <w:p>
      <w:pPr>
        <w:ind w:left="674"/>
        <w:spacing w:before="1" w:line="220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2"/>
        </w:rPr>
        <w:t>三、统一核拨标准</w:t>
      </w:r>
    </w:p>
    <w:p>
      <w:pPr>
        <w:ind w:right="39" w:firstLine="669"/>
        <w:spacing w:before="217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明确实施预付金的统筹区，预付金以前一至三年相关医疗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保险基金月平均支出额为基数，按1个月的标准确定预付金额，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并结合定点医疗机构年度综合评价、信用评价等情况进行调整。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相关医疗保险基金支出额包含应由基本医疗保</w:t>
      </w:r>
      <w:r>
        <w:rPr>
          <w:rFonts w:ascii="FangSong" w:hAnsi="FangSong" w:eastAsia="FangSong" w:cs="FangSong"/>
          <w:sz w:val="31"/>
          <w:szCs w:val="31"/>
          <w:spacing w:val="13"/>
        </w:rPr>
        <w:t>险基金、职工大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额医疗费用补助、公务员医疗补助基金支付的在本地定点医疗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机构发生的门诊和住院医疗费用。相关医疗保险基金应分别测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算并预付(测算预付金少于5000元、10000元</w:t>
      </w:r>
      <w:r>
        <w:rPr>
          <w:rFonts w:ascii="FangSong" w:hAnsi="FangSong" w:eastAsia="FangSong" w:cs="FangSong"/>
          <w:sz w:val="31"/>
          <w:szCs w:val="31"/>
          <w:spacing w:val="10"/>
        </w:rPr>
        <w:t>的定点医疗机构，</w:t>
      </w:r>
    </w:p>
    <w:p>
      <w:pPr>
        <w:spacing w:line="353" w:lineRule="auto"/>
        <w:sectPr>
          <w:footerReference w:type="default" r:id="rId4"/>
          <w:pgSz w:w="11900" w:h="16830"/>
          <w:pgMar w:top="1430" w:right="1665" w:bottom="1989" w:left="1400" w:header="0" w:footer="1721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37" w:lineRule="auto"/>
        <w:rPr/>
      </w:pPr>
      <w:r/>
    </w:p>
    <w:p>
      <w:pPr>
        <w:pStyle w:val="BodyText"/>
        <w:spacing w:line="338" w:lineRule="auto"/>
        <w:rPr/>
      </w:pPr>
      <w:r/>
    </w:p>
    <w:p>
      <w:pPr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1"/>
        </w:rPr>
        <w:t>可分别按5000元、10000元定额核拨)。</w:t>
      </w:r>
    </w:p>
    <w:p>
      <w:pPr>
        <w:ind w:right="62" w:firstLine="660"/>
        <w:spacing w:before="233" w:line="34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如发生重大公共卫生事件等特殊情形，经医保部门和财政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部门会商后可适度调整预付金规模。</w:t>
      </w:r>
    </w:p>
    <w:p>
      <w:pPr>
        <w:ind w:left="664"/>
        <w:spacing w:before="46" w:line="221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4"/>
        </w:rPr>
        <w:t>四、规范资金拨付和清算流程</w:t>
      </w:r>
    </w:p>
    <w:p>
      <w:pPr>
        <w:ind w:right="61" w:firstLine="660"/>
        <w:spacing w:before="226" w:line="35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符合预付条件的定点医疗机构可向各统筹区医保部门递交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预付金申请，医保部门审核后商财政部门确定预付医疗机构范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围及预付金规模，每年3月底前按规定完成当年预付金核</w:t>
      </w:r>
      <w:r>
        <w:rPr>
          <w:rFonts w:ascii="FangSong" w:hAnsi="FangSong" w:eastAsia="FangSong" w:cs="FangSong"/>
          <w:sz w:val="31"/>
          <w:szCs w:val="31"/>
          <w:spacing w:val="17"/>
        </w:rPr>
        <w:t>拨工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作。由各统筹区医保部门向同级财政部门提出用款计划申请，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财政部门审核后将资金拨付至医保部门支出户，再由医保经办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机构将资金拨付至各定点医疗机构。核拨预付金后，由定点医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疗机构在预拨年度使用，非特殊原因，不得中途收回或用于抵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扣月度结算资金。</w:t>
      </w:r>
    </w:p>
    <w:p>
      <w:pPr>
        <w:ind w:right="65" w:firstLine="660"/>
        <w:spacing w:before="72" w:line="35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每年12月底之前完成预付金清算工作并全额返还当年拨付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的预付金。由各定点医疗机构于12月25日之前将预付金原渠道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返还至医保部门支出户，再由医保部门于12月</w:t>
      </w:r>
      <w:r>
        <w:rPr>
          <w:rFonts w:ascii="FangSong" w:hAnsi="FangSong" w:eastAsia="FangSong" w:cs="FangSong"/>
          <w:sz w:val="31"/>
          <w:szCs w:val="31"/>
          <w:spacing w:val="12"/>
        </w:rPr>
        <w:t>31日之前统一上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解至财政部门社会保障基金财政专户，同时医保经办机构做好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与各定点医疗机构的对账工作。定点医疗机构在年底时未能按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时全额返还当年预付金的，在次年核拨预付金时减半拨付。同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时，医保经办机构对当年在定点医疗机构发生的医疗费用按规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定实行滚动结算和资金拨付。</w:t>
      </w:r>
    </w:p>
    <w:p>
      <w:pPr>
        <w:ind w:left="664"/>
        <w:spacing w:before="50" w:line="222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3"/>
        </w:rPr>
        <w:t>五、做好会计核算</w:t>
      </w:r>
    </w:p>
    <w:p>
      <w:pPr>
        <w:spacing w:line="222" w:lineRule="auto"/>
        <w:sectPr>
          <w:footerReference w:type="default" r:id="rId5"/>
          <w:pgSz w:w="11900" w:h="16830"/>
          <w:pgMar w:top="1430" w:right="1785" w:bottom="2027" w:left="1289" w:header="0" w:footer="1720" w:gutter="0"/>
        </w:sectPr>
        <w:rPr>
          <w:rFonts w:ascii="SimHei" w:hAnsi="SimHei" w:eastAsia="SimHei" w:cs="SimHei"/>
          <w:sz w:val="31"/>
          <w:szCs w:val="31"/>
        </w:rPr>
      </w:pPr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right="20" w:firstLine="709"/>
        <w:spacing w:before="101" w:line="35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医保部门应做好预付金拨付、清算的会计核算，以及与定点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医疗机构对账等工作。在社会保险基金会计报表的</w:t>
      </w:r>
      <w:r>
        <w:rPr>
          <w:rFonts w:ascii="FangSong" w:hAnsi="FangSong" w:eastAsia="FangSong" w:cs="FangSong"/>
          <w:sz w:val="31"/>
          <w:szCs w:val="31"/>
        </w:rPr>
        <w:t>“暂付款”科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目下设置“医保预付金”明细科目进行核算，</w:t>
      </w:r>
      <w:r>
        <w:rPr>
          <w:rFonts w:ascii="FangSong" w:hAnsi="FangSong" w:eastAsia="FangSong" w:cs="FangSong"/>
          <w:sz w:val="31"/>
          <w:szCs w:val="31"/>
        </w:rPr>
        <w:t>并按拨付对象设置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预付金明细账管理。拨付预付金时，借记“暂付款一医保</w:t>
      </w:r>
      <w:r>
        <w:rPr>
          <w:rFonts w:ascii="FangSong" w:hAnsi="FangSong" w:eastAsia="FangSong" w:cs="FangSong"/>
          <w:sz w:val="31"/>
          <w:szCs w:val="31"/>
          <w:spacing w:val="12"/>
        </w:rPr>
        <w:t>预付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金”,贷记“支出户存款”或“财政专户存款”;收回预付金时，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按照交回支出户或冲抵结算的金额，借记“支出户存款”“财政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专户存款”“社会保险待遇支出”等科目，贷记“暂付款-医保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预付金”;“暂付款一医保预付金”借方余额反映预付给定点医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疗机构的资金额。如无法收回预付金，医保部门应按规定履行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报批程序后，凭法院出具的法律文书进行核销，借记“其他支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出”,贷记“暂付款-医保预付金”。</w:t>
      </w:r>
    </w:p>
    <w:p>
      <w:pPr>
        <w:ind w:firstLine="649"/>
        <w:spacing w:before="61" w:line="35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定点医疗机构应当单独设置台账管理，严格资金使用审批、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支出程序，严禁借出或挪作他用。定点医疗机构应当在有关科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目下设置“医保预付金”明细科目，单独核算。</w:t>
      </w:r>
    </w:p>
    <w:p>
      <w:pPr>
        <w:ind w:left="654"/>
        <w:spacing w:before="9" w:line="221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3"/>
        </w:rPr>
        <w:t>六、强化监督管理</w:t>
      </w:r>
    </w:p>
    <w:p>
      <w:pPr>
        <w:ind w:right="112" w:firstLine="649"/>
        <w:spacing w:before="251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各统筹区医保部门加强对预付金工作的指导，会同财政部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门做好预付金使用管理情况的监督，严格遵守相关法律法规和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财务制度规定，将预付金纳入服务协议，细化相关条款，落实预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付金管理工作。医保部门、财政部门按规定做好预付金</w:t>
      </w:r>
      <w:r>
        <w:rPr>
          <w:rFonts w:ascii="FangSong" w:hAnsi="FangSong" w:eastAsia="FangSong" w:cs="FangSong"/>
          <w:sz w:val="31"/>
          <w:szCs w:val="31"/>
          <w:spacing w:val="12"/>
        </w:rPr>
        <w:t>的审核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和拨付工作。定点医疗机构及其工作人员造成预付金损失的，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依法追究责任。</w:t>
      </w:r>
    </w:p>
    <w:p>
      <w:pPr>
        <w:spacing w:line="353" w:lineRule="auto"/>
        <w:sectPr>
          <w:footerReference w:type="default" r:id="rId6"/>
          <w:pgSz w:w="11900" w:h="16830"/>
          <w:pgMar w:top="1430" w:right="1584" w:bottom="1910" w:left="1460" w:header="0" w:footer="165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01" w:lineRule="auto"/>
        <w:rPr/>
      </w:pPr>
      <w:r/>
    </w:p>
    <w:p>
      <w:pPr>
        <w:pStyle w:val="BodyText"/>
        <w:spacing w:line="301" w:lineRule="auto"/>
        <w:rPr/>
      </w:pPr>
      <w:r/>
    </w:p>
    <w:p>
      <w:pPr>
        <w:pStyle w:val="BodyText"/>
        <w:spacing w:line="302" w:lineRule="auto"/>
        <w:rPr/>
      </w:pPr>
      <w:r/>
    </w:p>
    <w:p>
      <w:pPr>
        <w:ind w:right="61" w:firstLine="669"/>
        <w:spacing w:before="101" w:line="379" w:lineRule="auto"/>
        <w:rPr>
          <w:rFonts w:ascii="FangSong" w:hAnsi="FangSong" w:eastAsia="FangSong" w:cs="FangSong"/>
          <w:sz w:val="25"/>
          <w:szCs w:val="25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定点医疗机构有下列情形之一的，医保部门应及时收回预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1"/>
        </w:rPr>
        <w:t>付</w:t>
      </w:r>
      <w:r>
        <w:rPr>
          <w:rFonts w:ascii="FangSong" w:hAnsi="FangSong" w:eastAsia="FangSong" w:cs="FangSong"/>
          <w:sz w:val="25"/>
          <w:szCs w:val="25"/>
          <w:spacing w:val="-27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1"/>
        </w:rPr>
        <w:t>金</w:t>
      </w:r>
      <w:r>
        <w:rPr>
          <w:rFonts w:ascii="FangSong" w:hAnsi="FangSong" w:eastAsia="FangSong" w:cs="FangSong"/>
          <w:sz w:val="25"/>
          <w:szCs w:val="25"/>
          <w:spacing w:val="-43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1"/>
        </w:rPr>
        <w:t>。</w:t>
      </w:r>
    </w:p>
    <w:p>
      <w:pPr>
        <w:ind w:left="689"/>
        <w:spacing w:before="2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6"/>
        </w:rPr>
        <w:t>(一)被中止或解除医保协议；</w:t>
      </w:r>
    </w:p>
    <w:p>
      <w:pPr>
        <w:ind w:left="689"/>
        <w:spacing w:before="248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(二)分立或合并；</w:t>
      </w:r>
    </w:p>
    <w:p>
      <w:pPr>
        <w:ind w:right="165" w:firstLine="689"/>
        <w:spacing w:before="251" w:line="307" w:lineRule="auto"/>
        <w:rPr>
          <w:rFonts w:ascii="FangSong" w:hAnsi="FangSong" w:eastAsia="FangSong" w:cs="FangSong"/>
          <w:sz w:val="25"/>
          <w:szCs w:val="25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(三)发生产权交易、所有制形式变化或发生其他情况导致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3"/>
        </w:rPr>
        <w:t>注</w:t>
      </w:r>
      <w:r>
        <w:rPr>
          <w:rFonts w:ascii="FangSong" w:hAnsi="FangSong" w:eastAsia="FangSong" w:cs="FangSong"/>
          <w:sz w:val="25"/>
          <w:szCs w:val="25"/>
          <w:spacing w:val="-13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3"/>
        </w:rPr>
        <w:t>销</w:t>
      </w:r>
      <w:r>
        <w:rPr>
          <w:rFonts w:ascii="FangSong" w:hAnsi="FangSong" w:eastAsia="FangSong" w:cs="FangSong"/>
          <w:sz w:val="25"/>
          <w:szCs w:val="25"/>
          <w:spacing w:val="-29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3"/>
        </w:rPr>
        <w:t>；</w:t>
      </w:r>
    </w:p>
    <w:p>
      <w:pPr>
        <w:ind w:left="689"/>
        <w:spacing w:before="258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5"/>
        </w:rPr>
        <w:t>(四)有财产被保全；</w:t>
      </w:r>
    </w:p>
    <w:p>
      <w:pPr>
        <w:ind w:left="689"/>
        <w:spacing w:before="248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(五)有未履行完毕生效法律文书确认的运营债务；</w:t>
      </w:r>
    </w:p>
    <w:p>
      <w:pPr>
        <w:ind w:left="689"/>
        <w:spacing w:before="218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5"/>
        </w:rPr>
        <w:t>(六)隐瞒事实、弄虚作假等获得拨付资格的；</w:t>
      </w:r>
    </w:p>
    <w:p>
      <w:pPr>
        <w:ind w:left="689"/>
        <w:spacing w:before="222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5"/>
        </w:rPr>
        <w:t>(七)违反预付金使用、管理和核算相关规定；</w:t>
      </w:r>
    </w:p>
    <w:p>
      <w:pPr>
        <w:ind w:right="166" w:firstLine="689"/>
        <w:spacing w:before="226" w:line="29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(八)公立医疗机构未按规定在省级集中采购平台采购全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部所需药品耗材；</w:t>
      </w:r>
    </w:p>
    <w:p>
      <w:pPr>
        <w:ind w:left="689"/>
        <w:spacing w:before="234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(九)医保服务协议约定应当收回预付金的其他情形。</w:t>
      </w:r>
    </w:p>
    <w:p>
      <w:pPr>
        <w:ind w:firstLine="669"/>
        <w:spacing w:before="224" w:line="35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若定点医疗机构不能全额返还预付金，可采取冲减结算金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额的方式予以收回；确实发生无法收回预付金的情形，医保部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门应停止向定点医疗机构拨付医保结算费用，并向定点医疗机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构所在地区法院依法申请强制执行，根据法院出具的法律文书，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确认预付金损失金额，由统筹地区医疗保障部门和财政部门报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人民政府批准后予以核销。核销的预付金应在备查簿中保留登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5"/>
        </w:rPr>
        <w:t>记。</w:t>
      </w:r>
    </w:p>
    <w:p>
      <w:pPr>
        <w:ind w:left="689"/>
        <w:spacing w:before="104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既往政策与本通知不一致的，以本通知为准。《甘肃省医疗</w:t>
      </w:r>
    </w:p>
    <w:p>
      <w:pPr>
        <w:spacing w:line="222" w:lineRule="auto"/>
        <w:sectPr>
          <w:footerReference w:type="default" r:id="rId7"/>
          <w:pgSz w:w="12160" w:h="17010"/>
          <w:pgMar w:top="1445" w:right="1705" w:bottom="1987" w:left="1630" w:header="0" w:footer="168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46" w:lineRule="auto"/>
        <w:rPr/>
      </w:pPr>
      <w:r/>
    </w:p>
    <w:p>
      <w:pPr>
        <w:pStyle w:val="BodyText"/>
        <w:spacing w:line="346" w:lineRule="auto"/>
        <w:rPr/>
      </w:pPr>
      <w:r/>
    </w:p>
    <w:p>
      <w:pPr>
        <w:ind w:left="8" w:hanging="9"/>
        <w:spacing w:before="98" w:line="36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6"/>
        </w:rPr>
        <w:t>保障局</w:t>
      </w:r>
      <w:r>
        <w:rPr>
          <w:rFonts w:ascii="FangSong" w:hAnsi="FangSong" w:eastAsia="FangSong" w:cs="FangSong"/>
          <w:sz w:val="30"/>
          <w:szCs w:val="30"/>
          <w:spacing w:val="11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6"/>
        </w:rPr>
        <w:t>甘肃省财政厅关于进一步规范定点医疗机构医保周转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3"/>
        </w:rPr>
        <w:t>金管理的通知》(甘医保发〔2024〕25号)同时废止。</w:t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793458</wp:posOffset>
            </wp:positionH>
            <wp:positionV relativeFrom="paragraph">
              <wp:posOffset>54774</wp:posOffset>
            </wp:positionV>
            <wp:extent cx="1644948" cy="1638667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44948" cy="1638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ind w:left="5060" w:right="1224" w:firstLine="280"/>
        <w:spacing w:before="97" w:line="299" w:lineRule="auto"/>
        <w:rPr>
          <w:rFonts w:ascii="FangSong" w:hAnsi="FangSong" w:eastAsia="FangSong" w:cs="FangSong"/>
          <w:sz w:val="30"/>
          <w:szCs w:val="30"/>
        </w:rPr>
      </w:pPr>
      <w:r>
        <w:pict>
          <v:shape id="_x0000_s4" style="position:absolute;margin-left:58.5pt;margin-top:6.75161pt;mso-position-vertical-relative:text;mso-position-horizontal-relative:text;width:128.45pt;height:19.95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FangSong" w:hAnsi="FangSong" w:eastAsia="FangSong" w:cs="FangSong"/>
                      <w:sz w:val="30"/>
                      <w:szCs w:val="30"/>
                    </w:rPr>
                  </w:pPr>
                  <w:r>
                    <w:rPr>
                      <w:rFonts w:ascii="FangSong" w:hAnsi="FangSong" w:eastAsia="FangSong" w:cs="FangSong"/>
                      <w:sz w:val="30"/>
                      <w:szCs w:val="30"/>
                      <w:spacing w:val="16"/>
                    </w:rPr>
                    <w:t>甘肃省医疗保障局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3194056</wp:posOffset>
            </wp:positionH>
            <wp:positionV relativeFrom="paragraph">
              <wp:posOffset>-884232</wp:posOffset>
            </wp:positionV>
            <wp:extent cx="1631901" cy="1670065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1901" cy="167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0"/>
          <w:szCs w:val="30"/>
          <w:spacing w:val="18"/>
        </w:rPr>
        <w:t>甘肃省财政厅</w:t>
      </w:r>
      <w:r>
        <w:rPr>
          <w:rFonts w:ascii="FangSong" w:hAnsi="FangSong" w:eastAsia="FangSong" w:cs="FangSong"/>
          <w:sz w:val="30"/>
          <w:szCs w:val="30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46"/>
          <w:w w:val="102"/>
        </w:rPr>
        <w:t>2025年1月22日</w:t>
      </w:r>
    </w:p>
    <w:p>
      <w:pPr>
        <w:pStyle w:val="BodyText"/>
        <w:spacing w:line="454" w:lineRule="auto"/>
        <w:rPr/>
      </w:pPr>
      <w:r/>
    </w:p>
    <w:p>
      <w:pPr>
        <w:ind w:left="840"/>
        <w:spacing w:before="97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6"/>
        </w:rPr>
        <w:t>(公开属性：主动公开)</w:t>
      </w:r>
    </w:p>
    <w:p>
      <w:pPr>
        <w:spacing w:line="220" w:lineRule="auto"/>
        <w:sectPr>
          <w:footerReference w:type="default" r:id="rId8"/>
          <w:pgSz w:w="11900" w:h="16830"/>
          <w:pgMar w:top="1430" w:right="1736" w:bottom="2018" w:left="1420" w:header="0" w:footer="1722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tbl>
      <w:tblPr>
        <w:tblStyle w:val="TableNormal"/>
        <w:tblW w:w="8800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638"/>
        <w:gridCol w:w="4162"/>
      </w:tblGrid>
      <w:tr>
        <w:trPr>
          <w:trHeight w:val="610" w:hRule="atLeast"/>
        </w:trPr>
        <w:tc>
          <w:tcPr>
            <w:tcW w:w="463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59"/>
              <w:spacing w:before="165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甘肃省医疗保障局办公室</w:t>
            </w:r>
          </w:p>
        </w:tc>
        <w:tc>
          <w:tcPr>
            <w:tcW w:w="416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182"/>
              <w:spacing w:before="167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2025年1月22日印发</w:t>
            </w:r>
          </w:p>
        </w:tc>
      </w:tr>
    </w:tbl>
    <w:p>
      <w:pPr>
        <w:ind w:left="309"/>
        <w:spacing w:before="281" w:line="183" w:lineRule="auto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-3"/>
        </w:rPr>
        <w:t>—8—</w:t>
      </w:r>
    </w:p>
    <w:sectPr>
      <w:footerReference w:type="default" r:id="rId11"/>
      <w:pgSz w:w="11900" w:h="16830"/>
      <w:pgMar w:top="1430" w:right="1619" w:bottom="400" w:left="148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700"/>
      <w:spacing w:line="176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—1—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0"/>
      <w:spacing w:line="177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4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90"/>
      <w:spacing w:line="176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3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60"/>
      <w:spacing w:line="177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4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20"/>
      <w:spacing w:line="174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99"/>
      <w:spacing w:line="177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4"/>
      </w:rPr>
      <w:t>—6—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739"/>
      <w:spacing w:line="175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4"/>
      </w:rPr>
      <w:t>—7—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4" Type="http://schemas.openxmlformats.org/officeDocument/2006/relationships/fontTable" Target="fontTable.xml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footer" Target="footer8.xml"/><Relationship Id="rId10" Type="http://schemas.openxmlformats.org/officeDocument/2006/relationships/image" Target="media/image3.pn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2025-02-17T20:12:39Z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2025-02-17T20:12:39</vt:filetime>
  </property>
  <property fmtid="{D5CDD505-2E9C-101B-9397-08002B2CF9AE}" pid="4" name="UsrData">
    <vt:lpwstr>67b327b55bc42f001f1d4bc2wl</vt:lpwstr>
  </property>
</Properties>
</file>