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1E19C0">
      <w:pPr>
        <w:pStyle w:val="2"/>
        <w:spacing w:after="0" w:line="460" w:lineRule="exact"/>
        <w:ind w:left="0" w:leftChars="0" w:firstLine="160" w:firstLineChars="50"/>
        <w:rPr>
          <w:rFonts w:ascii="黑体" w:hAnsi="黑体" w:eastAsia="黑体"/>
          <w:sz w:val="32"/>
          <w:szCs w:val="32"/>
        </w:rPr>
      </w:pPr>
      <w:r>
        <w:rPr>
          <w:rFonts w:hint="eastAsia" w:ascii="黑体" w:hAnsi="黑体" w:eastAsia="黑体"/>
          <w:sz w:val="32"/>
          <w:szCs w:val="32"/>
        </w:rPr>
        <w:t>附件1</w:t>
      </w:r>
    </w:p>
    <w:p w14:paraId="69DC44A9">
      <w:pPr>
        <w:pStyle w:val="3"/>
        <w:spacing w:before="161" w:beforeLines="50" w:after="161" w:afterLines="50"/>
        <w:jc w:val="center"/>
        <w:rPr>
          <w:rFonts w:ascii="方正小标宋简体" w:eastAsia="方正小标宋简体"/>
          <w:sz w:val="42"/>
          <w:szCs w:val="42"/>
        </w:rPr>
      </w:pPr>
      <w:r>
        <w:rPr>
          <w:rFonts w:hint="eastAsia" w:ascii="方正小标宋简体" w:eastAsia="方正小标宋简体"/>
          <w:sz w:val="42"/>
          <w:szCs w:val="42"/>
          <w:lang w:eastAsia="zh-CN"/>
        </w:rPr>
        <w:t>张掖市基本医疗保险门诊慢特病病种和待遇支付标准 </w:t>
      </w:r>
    </w:p>
    <w:tbl>
      <w:tblPr>
        <w:tblStyle w:val="13"/>
        <w:tblW w:w="4969" w:type="pct"/>
        <w:jc w:val="right"/>
        <w:tblLayout w:type="fixed"/>
        <w:tblCellMar>
          <w:top w:w="0" w:type="dxa"/>
          <w:left w:w="0" w:type="dxa"/>
          <w:bottom w:w="0" w:type="dxa"/>
          <w:right w:w="0" w:type="dxa"/>
        </w:tblCellMar>
      </w:tblPr>
      <w:tblGrid>
        <w:gridCol w:w="755"/>
        <w:gridCol w:w="822"/>
        <w:gridCol w:w="1387"/>
        <w:gridCol w:w="3600"/>
        <w:gridCol w:w="1181"/>
        <w:gridCol w:w="1395"/>
        <w:gridCol w:w="1175"/>
        <w:gridCol w:w="1561"/>
        <w:gridCol w:w="1488"/>
      </w:tblGrid>
      <w:tr w14:paraId="204CF018">
        <w:tblPrEx>
          <w:tblCellMar>
            <w:top w:w="0" w:type="dxa"/>
            <w:left w:w="0" w:type="dxa"/>
            <w:bottom w:w="0" w:type="dxa"/>
            <w:right w:w="0" w:type="dxa"/>
          </w:tblCellMar>
        </w:tblPrEx>
        <w:trPr>
          <w:trHeight w:val="501" w:hRule="atLeast"/>
          <w:tblHeader/>
          <w:jc w:val="right"/>
        </w:trPr>
        <w:tc>
          <w:tcPr>
            <w:tcW w:w="75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5B68CF2F">
            <w:pPr>
              <w:widowControl/>
              <w:jc w:val="center"/>
              <w:rPr>
                <w:rFonts w:ascii="黑体" w:hAnsi="黑体" w:eastAsia="黑体"/>
                <w:kern w:val="0"/>
                <w:sz w:val="24"/>
              </w:rPr>
            </w:pPr>
            <w:r>
              <w:rPr>
                <w:rFonts w:ascii="黑体" w:hAnsi="黑体" w:eastAsia="黑体"/>
                <w:kern w:val="0"/>
                <w:sz w:val="24"/>
              </w:rPr>
              <w:t>序号</w:t>
            </w:r>
          </w:p>
        </w:tc>
        <w:tc>
          <w:tcPr>
            <w:tcW w:w="822"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70C53096">
            <w:pPr>
              <w:widowControl/>
              <w:jc w:val="center"/>
              <w:rPr>
                <w:rFonts w:ascii="黑体" w:hAnsi="黑体" w:eastAsia="黑体"/>
                <w:kern w:val="0"/>
                <w:sz w:val="24"/>
              </w:rPr>
            </w:pPr>
            <w:r>
              <w:rPr>
                <w:rFonts w:ascii="黑体" w:hAnsi="黑体" w:eastAsia="黑体"/>
                <w:kern w:val="0"/>
                <w:sz w:val="24"/>
              </w:rPr>
              <w:t>类别</w:t>
            </w:r>
          </w:p>
        </w:tc>
        <w:tc>
          <w:tcPr>
            <w:tcW w:w="1386"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3BC7C9A1">
            <w:pPr>
              <w:widowControl/>
              <w:jc w:val="center"/>
              <w:rPr>
                <w:rFonts w:ascii="黑体" w:hAnsi="黑体" w:eastAsia="黑体"/>
                <w:kern w:val="0"/>
                <w:sz w:val="24"/>
              </w:rPr>
            </w:pPr>
            <w:r>
              <w:rPr>
                <w:rFonts w:ascii="黑体" w:hAnsi="黑体" w:eastAsia="黑体"/>
                <w:kern w:val="0"/>
                <w:sz w:val="24"/>
              </w:rPr>
              <w:t>病种</w:t>
            </w:r>
          </w:p>
          <w:p w14:paraId="7CE621CD">
            <w:pPr>
              <w:widowControl/>
              <w:jc w:val="center"/>
              <w:rPr>
                <w:rFonts w:ascii="黑体" w:hAnsi="黑体" w:eastAsia="黑体"/>
                <w:kern w:val="0"/>
                <w:sz w:val="24"/>
              </w:rPr>
            </w:pPr>
            <w:r>
              <w:rPr>
                <w:rFonts w:ascii="黑体" w:hAnsi="黑体" w:eastAsia="黑体"/>
                <w:kern w:val="0"/>
                <w:sz w:val="24"/>
              </w:rPr>
              <w:t>代码</w:t>
            </w:r>
          </w:p>
        </w:tc>
        <w:tc>
          <w:tcPr>
            <w:tcW w:w="3598"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2CFA00C6">
            <w:pPr>
              <w:widowControl/>
              <w:jc w:val="center"/>
              <w:rPr>
                <w:rFonts w:ascii="黑体" w:hAnsi="黑体" w:eastAsia="黑体"/>
                <w:kern w:val="0"/>
                <w:sz w:val="24"/>
              </w:rPr>
            </w:pPr>
            <w:r>
              <w:rPr>
                <w:rFonts w:ascii="黑体" w:hAnsi="黑体" w:eastAsia="黑体"/>
                <w:kern w:val="0"/>
                <w:sz w:val="24"/>
              </w:rPr>
              <w:t>病种名称</w:t>
            </w:r>
          </w:p>
        </w:tc>
        <w:tc>
          <w:tcPr>
            <w:tcW w:w="2574" w:type="dxa"/>
            <w:gridSpan w:val="2"/>
            <w:tcBorders>
              <w:top w:val="single" w:color="auto" w:sz="4" w:space="0"/>
              <w:left w:val="nil"/>
              <w:bottom w:val="single" w:color="auto" w:sz="4" w:space="0"/>
              <w:right w:val="single" w:color="auto" w:sz="4" w:space="0"/>
            </w:tcBorders>
            <w:vAlign w:val="center"/>
          </w:tcPr>
          <w:p w14:paraId="0ADB9CF2">
            <w:pPr>
              <w:widowControl/>
              <w:jc w:val="center"/>
              <w:rPr>
                <w:rFonts w:ascii="黑体" w:hAnsi="黑体" w:eastAsia="黑体"/>
                <w:kern w:val="0"/>
                <w:sz w:val="24"/>
              </w:rPr>
            </w:pPr>
            <w:r>
              <w:rPr>
                <w:rFonts w:ascii="黑体" w:hAnsi="黑体" w:eastAsia="黑体"/>
                <w:kern w:val="0"/>
                <w:sz w:val="24"/>
              </w:rPr>
              <w:t>职</w:t>
            </w:r>
            <w:r>
              <w:rPr>
                <w:rFonts w:hint="eastAsia" w:ascii="黑体" w:hAnsi="黑体" w:eastAsia="黑体"/>
                <w:kern w:val="0"/>
                <w:sz w:val="24"/>
              </w:rPr>
              <w:t xml:space="preserve">  </w:t>
            </w:r>
            <w:r>
              <w:rPr>
                <w:rFonts w:ascii="黑体" w:hAnsi="黑体" w:eastAsia="黑体"/>
                <w:kern w:val="0"/>
                <w:sz w:val="24"/>
              </w:rPr>
              <w:t>工</w:t>
            </w:r>
          </w:p>
        </w:tc>
        <w:tc>
          <w:tcPr>
            <w:tcW w:w="2734" w:type="dxa"/>
            <w:gridSpan w:val="2"/>
            <w:tcBorders>
              <w:top w:val="single" w:color="auto" w:sz="4" w:space="0"/>
              <w:left w:val="nil"/>
              <w:bottom w:val="single" w:color="auto" w:sz="4" w:space="0"/>
              <w:right w:val="single" w:color="auto" w:sz="4" w:space="0"/>
            </w:tcBorders>
            <w:vAlign w:val="center"/>
          </w:tcPr>
          <w:p w14:paraId="2A65313D">
            <w:pPr>
              <w:widowControl/>
              <w:jc w:val="center"/>
              <w:rPr>
                <w:rFonts w:ascii="黑体" w:hAnsi="黑体" w:eastAsia="黑体" w:cs="宋体"/>
                <w:kern w:val="0"/>
                <w:sz w:val="24"/>
              </w:rPr>
            </w:pPr>
            <w:r>
              <w:rPr>
                <w:rFonts w:hint="eastAsia" w:ascii="黑体" w:hAnsi="黑体" w:eastAsia="黑体" w:cs="宋体"/>
                <w:kern w:val="0"/>
                <w:sz w:val="24"/>
              </w:rPr>
              <w:t>城乡居民</w:t>
            </w:r>
          </w:p>
        </w:tc>
        <w:tc>
          <w:tcPr>
            <w:tcW w:w="1487" w:type="dxa"/>
            <w:vMerge w:val="restart"/>
            <w:tcBorders>
              <w:top w:val="single" w:color="auto" w:sz="4" w:space="0"/>
              <w:left w:val="nil"/>
              <w:right w:val="single" w:color="auto" w:sz="4" w:space="0"/>
            </w:tcBorders>
            <w:vAlign w:val="center"/>
          </w:tcPr>
          <w:p w14:paraId="3DB2073A">
            <w:pPr>
              <w:widowControl/>
              <w:jc w:val="center"/>
              <w:rPr>
                <w:rFonts w:ascii="黑体" w:hAnsi="黑体" w:eastAsia="黑体" w:cs="宋体"/>
                <w:kern w:val="0"/>
                <w:sz w:val="24"/>
              </w:rPr>
            </w:pPr>
            <w:r>
              <w:rPr>
                <w:rFonts w:hint="eastAsia" w:ascii="黑体" w:hAnsi="黑体" w:eastAsia="黑体" w:cs="宋体"/>
                <w:kern w:val="0"/>
                <w:sz w:val="24"/>
              </w:rPr>
              <w:t>复审期限</w:t>
            </w:r>
          </w:p>
        </w:tc>
      </w:tr>
      <w:tr w14:paraId="636EE560">
        <w:tblPrEx>
          <w:tblCellMar>
            <w:top w:w="0" w:type="dxa"/>
            <w:left w:w="0" w:type="dxa"/>
            <w:bottom w:w="0" w:type="dxa"/>
            <w:right w:w="0" w:type="dxa"/>
          </w:tblCellMar>
        </w:tblPrEx>
        <w:trPr>
          <w:trHeight w:val="501" w:hRule="atLeast"/>
          <w:tblHeader/>
          <w:jc w:val="right"/>
        </w:trPr>
        <w:tc>
          <w:tcPr>
            <w:tcW w:w="755" w:type="dxa"/>
            <w:vMerge w:val="continue"/>
            <w:tcBorders>
              <w:top w:val="single" w:color="auto" w:sz="4" w:space="0"/>
              <w:left w:val="single" w:color="auto" w:sz="4" w:space="0"/>
              <w:bottom w:val="single" w:color="auto" w:sz="4" w:space="0"/>
              <w:right w:val="single" w:color="auto" w:sz="4" w:space="0"/>
            </w:tcBorders>
            <w:vAlign w:val="center"/>
          </w:tcPr>
          <w:p w14:paraId="1F4913A5">
            <w:pPr>
              <w:widowControl/>
              <w:jc w:val="left"/>
              <w:rPr>
                <w:rFonts w:ascii="黑体" w:hAnsi="黑体" w:eastAsia="黑体"/>
                <w:kern w:val="0"/>
                <w:sz w:val="24"/>
              </w:rPr>
            </w:pPr>
          </w:p>
        </w:tc>
        <w:tc>
          <w:tcPr>
            <w:tcW w:w="822" w:type="dxa"/>
            <w:vMerge w:val="continue"/>
            <w:tcBorders>
              <w:top w:val="single" w:color="auto" w:sz="4" w:space="0"/>
              <w:left w:val="single" w:color="auto" w:sz="4" w:space="0"/>
              <w:bottom w:val="single" w:color="000000" w:sz="4" w:space="0"/>
              <w:right w:val="single" w:color="auto" w:sz="4" w:space="0"/>
            </w:tcBorders>
            <w:vAlign w:val="center"/>
          </w:tcPr>
          <w:p w14:paraId="373790D8">
            <w:pPr>
              <w:widowControl/>
              <w:jc w:val="left"/>
              <w:rPr>
                <w:rFonts w:ascii="黑体" w:hAnsi="黑体" w:eastAsia="黑体"/>
                <w:kern w:val="0"/>
                <w:sz w:val="24"/>
              </w:rPr>
            </w:pPr>
          </w:p>
        </w:tc>
        <w:tc>
          <w:tcPr>
            <w:tcW w:w="1386" w:type="dxa"/>
            <w:vMerge w:val="continue"/>
            <w:tcBorders>
              <w:top w:val="single" w:color="auto" w:sz="4" w:space="0"/>
              <w:left w:val="single" w:color="auto" w:sz="4" w:space="0"/>
              <w:bottom w:val="single" w:color="auto" w:sz="4" w:space="0"/>
              <w:right w:val="single" w:color="auto" w:sz="4" w:space="0"/>
            </w:tcBorders>
            <w:vAlign w:val="center"/>
          </w:tcPr>
          <w:p w14:paraId="7D2B6858">
            <w:pPr>
              <w:widowControl/>
              <w:jc w:val="left"/>
              <w:rPr>
                <w:rFonts w:ascii="黑体" w:hAnsi="黑体" w:eastAsia="黑体"/>
                <w:kern w:val="0"/>
                <w:sz w:val="24"/>
              </w:rPr>
            </w:pPr>
          </w:p>
        </w:tc>
        <w:tc>
          <w:tcPr>
            <w:tcW w:w="3598" w:type="dxa"/>
            <w:vMerge w:val="continue"/>
            <w:tcBorders>
              <w:top w:val="single" w:color="auto" w:sz="4" w:space="0"/>
              <w:left w:val="single" w:color="auto" w:sz="4" w:space="0"/>
              <w:bottom w:val="single" w:color="auto" w:sz="4" w:space="0"/>
              <w:right w:val="single" w:color="auto" w:sz="4" w:space="0"/>
            </w:tcBorders>
            <w:vAlign w:val="center"/>
          </w:tcPr>
          <w:p w14:paraId="7C7C2B39">
            <w:pPr>
              <w:widowControl/>
              <w:jc w:val="left"/>
              <w:rPr>
                <w:rFonts w:ascii="黑体" w:hAnsi="黑体" w:eastAsia="黑体"/>
                <w:kern w:val="0"/>
                <w:sz w:val="24"/>
              </w:rPr>
            </w:pPr>
          </w:p>
        </w:tc>
        <w:tc>
          <w:tcPr>
            <w:tcW w:w="1180" w:type="dxa"/>
            <w:tcBorders>
              <w:top w:val="nil"/>
              <w:left w:val="nil"/>
              <w:bottom w:val="single" w:color="auto" w:sz="4" w:space="0"/>
              <w:right w:val="single" w:color="auto" w:sz="4" w:space="0"/>
            </w:tcBorders>
            <w:vAlign w:val="center"/>
          </w:tcPr>
          <w:p w14:paraId="020AB765">
            <w:pPr>
              <w:widowControl/>
              <w:jc w:val="center"/>
              <w:rPr>
                <w:rFonts w:ascii="黑体" w:hAnsi="黑体" w:eastAsia="黑体"/>
                <w:kern w:val="0"/>
                <w:szCs w:val="21"/>
              </w:rPr>
            </w:pPr>
            <w:r>
              <w:rPr>
                <w:rFonts w:ascii="黑体" w:hAnsi="黑体" w:eastAsia="黑体"/>
                <w:kern w:val="0"/>
                <w:szCs w:val="21"/>
              </w:rPr>
              <w:t>支付</w:t>
            </w:r>
          </w:p>
          <w:p w14:paraId="770298A7">
            <w:pPr>
              <w:widowControl/>
              <w:jc w:val="center"/>
              <w:rPr>
                <w:rFonts w:ascii="黑体" w:hAnsi="黑体" w:eastAsia="黑体"/>
                <w:kern w:val="0"/>
                <w:szCs w:val="21"/>
              </w:rPr>
            </w:pPr>
            <w:r>
              <w:rPr>
                <w:rFonts w:ascii="黑体" w:hAnsi="黑体" w:eastAsia="黑体"/>
                <w:kern w:val="0"/>
                <w:szCs w:val="21"/>
              </w:rPr>
              <w:t>比例（%）</w:t>
            </w:r>
          </w:p>
        </w:tc>
        <w:tc>
          <w:tcPr>
            <w:tcW w:w="1394" w:type="dxa"/>
            <w:tcBorders>
              <w:top w:val="nil"/>
              <w:left w:val="nil"/>
              <w:bottom w:val="single" w:color="auto" w:sz="4" w:space="0"/>
              <w:right w:val="single" w:color="auto" w:sz="4" w:space="0"/>
            </w:tcBorders>
            <w:vAlign w:val="center"/>
          </w:tcPr>
          <w:p w14:paraId="54CB1ADD">
            <w:pPr>
              <w:widowControl/>
              <w:jc w:val="center"/>
              <w:rPr>
                <w:rFonts w:ascii="黑体" w:hAnsi="黑体" w:eastAsia="黑体" w:cs="宋体"/>
                <w:kern w:val="0"/>
                <w:szCs w:val="21"/>
              </w:rPr>
            </w:pPr>
            <w:r>
              <w:rPr>
                <w:rFonts w:hint="eastAsia" w:ascii="黑体" w:hAnsi="黑体" w:eastAsia="黑体" w:cs="宋体"/>
                <w:kern w:val="0"/>
                <w:szCs w:val="21"/>
              </w:rPr>
              <w:t>支付</w:t>
            </w:r>
          </w:p>
          <w:p w14:paraId="59949CD1">
            <w:pPr>
              <w:widowControl/>
              <w:jc w:val="center"/>
              <w:rPr>
                <w:rFonts w:ascii="黑体" w:hAnsi="黑体" w:eastAsia="黑体" w:cs="宋体"/>
                <w:kern w:val="0"/>
                <w:szCs w:val="21"/>
              </w:rPr>
            </w:pPr>
            <w:r>
              <w:rPr>
                <w:rFonts w:hint="eastAsia" w:ascii="黑体" w:hAnsi="黑体" w:eastAsia="黑体" w:cs="宋体"/>
                <w:kern w:val="0"/>
                <w:szCs w:val="21"/>
              </w:rPr>
              <w:t>限额（元）</w:t>
            </w:r>
          </w:p>
        </w:tc>
        <w:tc>
          <w:tcPr>
            <w:tcW w:w="1174" w:type="dxa"/>
            <w:tcBorders>
              <w:top w:val="nil"/>
              <w:left w:val="nil"/>
              <w:bottom w:val="single" w:color="auto" w:sz="4" w:space="0"/>
              <w:right w:val="single" w:color="auto" w:sz="4" w:space="0"/>
            </w:tcBorders>
            <w:vAlign w:val="center"/>
          </w:tcPr>
          <w:p w14:paraId="472BD8AE">
            <w:pPr>
              <w:widowControl/>
              <w:jc w:val="center"/>
              <w:rPr>
                <w:rFonts w:ascii="黑体" w:hAnsi="黑体" w:eastAsia="黑体" w:cs="宋体"/>
                <w:kern w:val="0"/>
                <w:szCs w:val="21"/>
              </w:rPr>
            </w:pPr>
            <w:r>
              <w:rPr>
                <w:rFonts w:hint="eastAsia" w:ascii="黑体" w:hAnsi="黑体" w:eastAsia="黑体" w:cs="宋体"/>
                <w:kern w:val="0"/>
                <w:szCs w:val="21"/>
              </w:rPr>
              <w:t>支付</w:t>
            </w:r>
          </w:p>
          <w:p w14:paraId="140A2327">
            <w:pPr>
              <w:widowControl/>
              <w:jc w:val="center"/>
              <w:rPr>
                <w:rFonts w:ascii="黑体" w:hAnsi="黑体" w:eastAsia="黑体" w:cs="宋体"/>
                <w:kern w:val="0"/>
                <w:szCs w:val="21"/>
              </w:rPr>
            </w:pPr>
            <w:r>
              <w:rPr>
                <w:rFonts w:hint="eastAsia" w:ascii="黑体" w:hAnsi="黑体" w:eastAsia="黑体" w:cs="宋体"/>
                <w:kern w:val="0"/>
                <w:szCs w:val="21"/>
              </w:rPr>
              <w:t>比例（%）</w:t>
            </w:r>
          </w:p>
        </w:tc>
        <w:tc>
          <w:tcPr>
            <w:tcW w:w="1560" w:type="dxa"/>
            <w:tcBorders>
              <w:top w:val="nil"/>
              <w:left w:val="nil"/>
              <w:bottom w:val="single" w:color="auto" w:sz="4" w:space="0"/>
              <w:right w:val="single" w:color="auto" w:sz="4" w:space="0"/>
            </w:tcBorders>
            <w:vAlign w:val="center"/>
          </w:tcPr>
          <w:p w14:paraId="362B9F02">
            <w:pPr>
              <w:widowControl/>
              <w:jc w:val="center"/>
              <w:rPr>
                <w:rFonts w:ascii="黑体" w:hAnsi="黑体" w:eastAsia="黑体" w:cs="宋体"/>
                <w:kern w:val="0"/>
                <w:szCs w:val="21"/>
              </w:rPr>
            </w:pPr>
            <w:r>
              <w:rPr>
                <w:rFonts w:hint="eastAsia" w:ascii="黑体" w:hAnsi="黑体" w:eastAsia="黑体" w:cs="宋体"/>
                <w:kern w:val="0"/>
                <w:szCs w:val="21"/>
              </w:rPr>
              <w:t>支付</w:t>
            </w:r>
          </w:p>
          <w:p w14:paraId="066409E2">
            <w:pPr>
              <w:widowControl/>
              <w:jc w:val="center"/>
              <w:rPr>
                <w:rFonts w:ascii="黑体" w:hAnsi="黑体" w:eastAsia="黑体" w:cs="宋体"/>
                <w:kern w:val="0"/>
                <w:szCs w:val="21"/>
              </w:rPr>
            </w:pPr>
            <w:r>
              <w:rPr>
                <w:rFonts w:hint="eastAsia" w:ascii="黑体" w:hAnsi="黑体" w:eastAsia="黑体" w:cs="宋体"/>
                <w:kern w:val="0"/>
                <w:szCs w:val="21"/>
              </w:rPr>
              <w:t>限额（元）</w:t>
            </w:r>
          </w:p>
        </w:tc>
        <w:tc>
          <w:tcPr>
            <w:tcW w:w="1487" w:type="dxa"/>
            <w:vMerge w:val="continue"/>
            <w:tcBorders>
              <w:left w:val="nil"/>
              <w:bottom w:val="single" w:color="auto" w:sz="4" w:space="0"/>
              <w:right w:val="single" w:color="auto" w:sz="4" w:space="0"/>
            </w:tcBorders>
          </w:tcPr>
          <w:p w14:paraId="2BEC0B3B">
            <w:pPr>
              <w:widowControl/>
              <w:jc w:val="center"/>
              <w:rPr>
                <w:rFonts w:ascii="黑体" w:hAnsi="黑体" w:eastAsia="黑体" w:cs="宋体"/>
                <w:kern w:val="0"/>
                <w:sz w:val="24"/>
              </w:rPr>
            </w:pPr>
          </w:p>
        </w:tc>
      </w:tr>
      <w:tr w14:paraId="73614F63">
        <w:tblPrEx>
          <w:tblCellMar>
            <w:top w:w="0" w:type="dxa"/>
            <w:left w:w="0" w:type="dxa"/>
            <w:bottom w:w="0" w:type="dxa"/>
            <w:right w:w="0" w:type="dxa"/>
          </w:tblCellMar>
        </w:tblPrEx>
        <w:trPr>
          <w:trHeight w:val="465" w:hRule="atLeast"/>
          <w:jc w:val="right"/>
        </w:trPr>
        <w:tc>
          <w:tcPr>
            <w:tcW w:w="755" w:type="dxa"/>
            <w:tcBorders>
              <w:top w:val="nil"/>
              <w:left w:val="single" w:color="auto" w:sz="4" w:space="0"/>
              <w:bottom w:val="single" w:color="auto" w:sz="4" w:space="0"/>
              <w:right w:val="single" w:color="auto" w:sz="4" w:space="0"/>
            </w:tcBorders>
            <w:shd w:val="clear" w:color="auto" w:fill="auto"/>
            <w:vAlign w:val="center"/>
          </w:tcPr>
          <w:p w14:paraId="576F641C">
            <w:pPr>
              <w:widowControl/>
              <w:jc w:val="center"/>
              <w:rPr>
                <w:rFonts w:ascii="仿宋" w:hAnsi="仿宋" w:eastAsia="仿宋"/>
                <w:kern w:val="0"/>
                <w:sz w:val="24"/>
              </w:rPr>
            </w:pPr>
            <w:bookmarkStart w:id="2" w:name="_GoBack" w:colFirst="0" w:colLast="0"/>
            <w:r>
              <w:rPr>
                <w:rFonts w:ascii="仿宋" w:hAnsi="仿宋" w:eastAsia="仿宋"/>
                <w:kern w:val="0"/>
                <w:sz w:val="24"/>
              </w:rPr>
              <w:t>1</w:t>
            </w:r>
          </w:p>
        </w:tc>
        <w:tc>
          <w:tcPr>
            <w:tcW w:w="822" w:type="dxa"/>
            <w:vMerge w:val="restart"/>
            <w:tcBorders>
              <w:top w:val="nil"/>
              <w:left w:val="single" w:color="auto" w:sz="4" w:space="0"/>
              <w:right w:val="single" w:color="auto" w:sz="4" w:space="0"/>
            </w:tcBorders>
            <w:shd w:val="clear" w:color="auto" w:fill="auto"/>
            <w:vAlign w:val="center"/>
          </w:tcPr>
          <w:p w14:paraId="56E9D1C0">
            <w:pPr>
              <w:widowControl/>
              <w:jc w:val="center"/>
              <w:rPr>
                <w:rFonts w:ascii="仿宋" w:hAnsi="仿宋" w:eastAsia="仿宋"/>
                <w:kern w:val="0"/>
                <w:sz w:val="24"/>
              </w:rPr>
            </w:pPr>
            <w:r>
              <w:rPr>
                <w:rFonts w:hint="eastAsia" w:ascii="仿宋" w:hAnsi="仿宋" w:eastAsia="仿宋" w:cs="宋体"/>
                <w:kern w:val="0"/>
                <w:sz w:val="24"/>
              </w:rPr>
              <w:t>Ⅰ</w:t>
            </w:r>
            <w:r>
              <w:rPr>
                <w:rFonts w:ascii="仿宋" w:hAnsi="仿宋" w:eastAsia="仿宋"/>
                <w:kern w:val="0"/>
                <w:sz w:val="24"/>
              </w:rPr>
              <w:t>类</w:t>
            </w:r>
          </w:p>
        </w:tc>
        <w:tc>
          <w:tcPr>
            <w:tcW w:w="1386" w:type="dxa"/>
            <w:tcBorders>
              <w:top w:val="nil"/>
              <w:left w:val="nil"/>
              <w:bottom w:val="single" w:color="auto" w:sz="4" w:space="0"/>
              <w:right w:val="single" w:color="auto" w:sz="4" w:space="0"/>
            </w:tcBorders>
            <w:shd w:val="clear" w:color="000000" w:fill="FFFFFF"/>
            <w:vAlign w:val="center"/>
          </w:tcPr>
          <w:p w14:paraId="416A5BB6">
            <w:pPr>
              <w:widowControl/>
              <w:jc w:val="center"/>
              <w:rPr>
                <w:rFonts w:ascii="仿宋" w:hAnsi="仿宋" w:eastAsia="仿宋"/>
                <w:kern w:val="0"/>
                <w:sz w:val="24"/>
              </w:rPr>
            </w:pPr>
            <w:r>
              <w:rPr>
                <w:rFonts w:ascii="仿宋" w:hAnsi="仿宋" w:eastAsia="仿宋"/>
                <w:kern w:val="0"/>
                <w:sz w:val="24"/>
              </w:rPr>
              <w:t>M06900</w:t>
            </w:r>
          </w:p>
        </w:tc>
        <w:tc>
          <w:tcPr>
            <w:tcW w:w="3598" w:type="dxa"/>
            <w:tcBorders>
              <w:top w:val="nil"/>
              <w:left w:val="nil"/>
              <w:bottom w:val="single" w:color="auto" w:sz="4" w:space="0"/>
              <w:right w:val="single" w:color="auto" w:sz="4" w:space="0"/>
            </w:tcBorders>
            <w:shd w:val="clear" w:color="000000" w:fill="FFFFFF"/>
            <w:vAlign w:val="center"/>
          </w:tcPr>
          <w:p w14:paraId="369985C4">
            <w:pPr>
              <w:widowControl/>
              <w:jc w:val="center"/>
              <w:rPr>
                <w:rFonts w:ascii="仿宋" w:hAnsi="仿宋" w:eastAsia="仿宋"/>
                <w:kern w:val="0"/>
                <w:sz w:val="24"/>
              </w:rPr>
            </w:pPr>
            <w:r>
              <w:rPr>
                <w:rFonts w:ascii="仿宋" w:hAnsi="仿宋" w:eastAsia="仿宋"/>
                <w:kern w:val="0"/>
                <w:sz w:val="24"/>
              </w:rPr>
              <w:t>类风湿性关节炎</w:t>
            </w:r>
          </w:p>
        </w:tc>
        <w:tc>
          <w:tcPr>
            <w:tcW w:w="1180" w:type="dxa"/>
            <w:tcBorders>
              <w:top w:val="nil"/>
              <w:left w:val="nil"/>
              <w:bottom w:val="single" w:color="auto" w:sz="4" w:space="0"/>
              <w:right w:val="single" w:color="auto" w:sz="4" w:space="0"/>
            </w:tcBorders>
            <w:vAlign w:val="center"/>
          </w:tcPr>
          <w:p w14:paraId="2D6473F7">
            <w:pPr>
              <w:widowControl/>
              <w:jc w:val="center"/>
              <w:rPr>
                <w:rFonts w:ascii="仿宋" w:hAnsi="仿宋" w:eastAsia="仿宋"/>
                <w:kern w:val="0"/>
                <w:sz w:val="24"/>
              </w:rPr>
            </w:pPr>
            <w:r>
              <w:rPr>
                <w:rFonts w:ascii="仿宋" w:hAnsi="仿宋" w:eastAsia="仿宋"/>
                <w:kern w:val="0"/>
                <w:sz w:val="24"/>
              </w:rPr>
              <w:t>85</w:t>
            </w:r>
          </w:p>
        </w:tc>
        <w:tc>
          <w:tcPr>
            <w:tcW w:w="1394" w:type="dxa"/>
            <w:tcBorders>
              <w:top w:val="nil"/>
              <w:left w:val="nil"/>
              <w:bottom w:val="single" w:color="auto" w:sz="4" w:space="0"/>
              <w:right w:val="single" w:color="auto" w:sz="4" w:space="0"/>
            </w:tcBorders>
            <w:vAlign w:val="center"/>
          </w:tcPr>
          <w:p w14:paraId="25F66269">
            <w:pPr>
              <w:widowControl/>
              <w:jc w:val="center"/>
              <w:rPr>
                <w:rFonts w:ascii="仿宋" w:hAnsi="仿宋" w:eastAsia="仿宋" w:cs="宋体"/>
                <w:kern w:val="0"/>
                <w:sz w:val="24"/>
              </w:rPr>
            </w:pPr>
            <w:r>
              <w:rPr>
                <w:rFonts w:hint="eastAsia" w:ascii="仿宋" w:hAnsi="仿宋" w:eastAsia="仿宋" w:cs="宋体"/>
                <w:kern w:val="0"/>
                <w:sz w:val="24"/>
              </w:rPr>
              <w:t>6000</w:t>
            </w:r>
          </w:p>
        </w:tc>
        <w:tc>
          <w:tcPr>
            <w:tcW w:w="1174" w:type="dxa"/>
            <w:tcBorders>
              <w:top w:val="nil"/>
              <w:left w:val="nil"/>
              <w:bottom w:val="single" w:color="auto" w:sz="4" w:space="0"/>
              <w:right w:val="single" w:color="auto" w:sz="4" w:space="0"/>
            </w:tcBorders>
            <w:vAlign w:val="center"/>
          </w:tcPr>
          <w:p w14:paraId="500E5B1A">
            <w:pPr>
              <w:widowControl/>
              <w:jc w:val="center"/>
              <w:rPr>
                <w:rFonts w:ascii="仿宋" w:hAnsi="仿宋" w:eastAsia="仿宋" w:cs="宋体"/>
                <w:kern w:val="0"/>
                <w:sz w:val="24"/>
              </w:rPr>
            </w:pPr>
            <w:r>
              <w:rPr>
                <w:rFonts w:hint="eastAsia" w:ascii="仿宋" w:hAnsi="仿宋" w:eastAsia="仿宋" w:cs="宋体"/>
                <w:kern w:val="0"/>
                <w:sz w:val="24"/>
              </w:rPr>
              <w:t>70</w:t>
            </w:r>
          </w:p>
        </w:tc>
        <w:tc>
          <w:tcPr>
            <w:tcW w:w="1560" w:type="dxa"/>
            <w:tcBorders>
              <w:top w:val="nil"/>
              <w:left w:val="nil"/>
              <w:bottom w:val="single" w:color="auto" w:sz="4" w:space="0"/>
              <w:right w:val="single" w:color="auto" w:sz="4" w:space="0"/>
            </w:tcBorders>
            <w:vAlign w:val="center"/>
          </w:tcPr>
          <w:p w14:paraId="639EFEB1">
            <w:pPr>
              <w:widowControl/>
              <w:jc w:val="center"/>
              <w:rPr>
                <w:rFonts w:ascii="仿宋" w:hAnsi="仿宋" w:eastAsia="仿宋" w:cs="宋体"/>
                <w:kern w:val="0"/>
                <w:sz w:val="24"/>
              </w:rPr>
            </w:pPr>
            <w:r>
              <w:rPr>
                <w:rFonts w:hint="eastAsia" w:ascii="仿宋" w:hAnsi="仿宋" w:eastAsia="仿宋" w:cs="宋体"/>
                <w:kern w:val="0"/>
                <w:sz w:val="24"/>
              </w:rPr>
              <w:t>4000</w:t>
            </w:r>
          </w:p>
        </w:tc>
        <w:tc>
          <w:tcPr>
            <w:tcW w:w="1487" w:type="dxa"/>
            <w:tcBorders>
              <w:top w:val="nil"/>
              <w:left w:val="nil"/>
              <w:bottom w:val="single" w:color="auto" w:sz="4" w:space="0"/>
              <w:right w:val="single" w:color="auto" w:sz="4" w:space="0"/>
            </w:tcBorders>
            <w:vAlign w:val="center"/>
          </w:tcPr>
          <w:p w14:paraId="48FAA533">
            <w:pPr>
              <w:widowControl/>
              <w:jc w:val="center"/>
              <w:rPr>
                <w:rFonts w:ascii="仿宋" w:hAnsi="仿宋" w:eastAsia="仿宋" w:cs="宋体"/>
                <w:kern w:val="0"/>
                <w:sz w:val="24"/>
              </w:rPr>
            </w:pPr>
            <w:r>
              <w:rPr>
                <w:rFonts w:hint="eastAsia" w:ascii="仿宋_GB2312" w:hAnsi="Times New Roman" w:eastAsia="仿宋_GB2312"/>
                <w:bCs/>
                <w:sz w:val="24"/>
              </w:rPr>
              <w:t>10</w:t>
            </w:r>
            <w:r>
              <w:rPr>
                <w:rFonts w:hint="eastAsia" w:ascii="仿宋_GB2312" w:hAnsi="仿宋_GB2312" w:eastAsia="仿宋_GB2312"/>
                <w:bCs/>
                <w:sz w:val="24"/>
              </w:rPr>
              <w:t>年</w:t>
            </w:r>
          </w:p>
        </w:tc>
      </w:tr>
      <w:tr w14:paraId="552F271F">
        <w:tblPrEx>
          <w:tblCellMar>
            <w:top w:w="0" w:type="dxa"/>
            <w:left w:w="0" w:type="dxa"/>
            <w:bottom w:w="0" w:type="dxa"/>
            <w:right w:w="0" w:type="dxa"/>
          </w:tblCellMar>
        </w:tblPrEx>
        <w:trPr>
          <w:trHeight w:val="465" w:hRule="atLeast"/>
          <w:jc w:val="right"/>
        </w:trPr>
        <w:tc>
          <w:tcPr>
            <w:tcW w:w="755" w:type="dxa"/>
            <w:tcBorders>
              <w:top w:val="nil"/>
              <w:left w:val="single" w:color="auto" w:sz="4" w:space="0"/>
              <w:bottom w:val="single" w:color="auto" w:sz="4" w:space="0"/>
              <w:right w:val="single" w:color="auto" w:sz="4" w:space="0"/>
            </w:tcBorders>
            <w:shd w:val="clear" w:color="auto" w:fill="auto"/>
            <w:vAlign w:val="center"/>
          </w:tcPr>
          <w:p w14:paraId="395B89EC">
            <w:pPr>
              <w:widowControl/>
              <w:jc w:val="center"/>
              <w:rPr>
                <w:rFonts w:ascii="仿宋" w:hAnsi="仿宋" w:eastAsia="仿宋"/>
                <w:kern w:val="0"/>
                <w:sz w:val="24"/>
              </w:rPr>
            </w:pPr>
            <w:r>
              <w:rPr>
                <w:rFonts w:ascii="仿宋" w:hAnsi="仿宋" w:eastAsia="仿宋"/>
                <w:kern w:val="0"/>
                <w:sz w:val="24"/>
              </w:rPr>
              <w:t>2</w:t>
            </w:r>
          </w:p>
        </w:tc>
        <w:tc>
          <w:tcPr>
            <w:tcW w:w="822" w:type="dxa"/>
            <w:vMerge w:val="continue"/>
            <w:tcBorders>
              <w:left w:val="single" w:color="auto" w:sz="4" w:space="0"/>
              <w:right w:val="single" w:color="auto" w:sz="4" w:space="0"/>
            </w:tcBorders>
            <w:shd w:val="clear" w:color="auto" w:fill="auto"/>
            <w:vAlign w:val="center"/>
          </w:tcPr>
          <w:p w14:paraId="286A7B07">
            <w:pPr>
              <w:widowControl/>
              <w:jc w:val="left"/>
              <w:rPr>
                <w:rFonts w:ascii="仿宋" w:hAnsi="仿宋" w:eastAsia="仿宋"/>
                <w:kern w:val="0"/>
                <w:sz w:val="24"/>
              </w:rPr>
            </w:pPr>
          </w:p>
        </w:tc>
        <w:tc>
          <w:tcPr>
            <w:tcW w:w="1386" w:type="dxa"/>
            <w:tcBorders>
              <w:top w:val="nil"/>
              <w:left w:val="nil"/>
              <w:bottom w:val="single" w:color="auto" w:sz="4" w:space="0"/>
              <w:right w:val="single" w:color="auto" w:sz="4" w:space="0"/>
            </w:tcBorders>
            <w:shd w:val="clear" w:color="000000" w:fill="FFFFFF"/>
            <w:vAlign w:val="center"/>
          </w:tcPr>
          <w:p w14:paraId="00C435A3">
            <w:pPr>
              <w:widowControl/>
              <w:jc w:val="center"/>
              <w:rPr>
                <w:rFonts w:ascii="仿宋" w:hAnsi="仿宋" w:eastAsia="仿宋"/>
                <w:kern w:val="0"/>
                <w:sz w:val="24"/>
              </w:rPr>
            </w:pPr>
            <w:r>
              <w:rPr>
                <w:rFonts w:ascii="仿宋" w:hAnsi="仿宋" w:eastAsia="仿宋"/>
                <w:kern w:val="0"/>
                <w:sz w:val="24"/>
              </w:rPr>
              <w:t>M07200</w:t>
            </w:r>
          </w:p>
        </w:tc>
        <w:tc>
          <w:tcPr>
            <w:tcW w:w="3598" w:type="dxa"/>
            <w:tcBorders>
              <w:top w:val="nil"/>
              <w:left w:val="nil"/>
              <w:bottom w:val="single" w:color="auto" w:sz="4" w:space="0"/>
              <w:right w:val="single" w:color="auto" w:sz="4" w:space="0"/>
            </w:tcBorders>
            <w:shd w:val="clear" w:color="000000" w:fill="FFFFFF"/>
            <w:vAlign w:val="center"/>
          </w:tcPr>
          <w:p w14:paraId="3FD5B4E7">
            <w:pPr>
              <w:widowControl/>
              <w:jc w:val="center"/>
              <w:rPr>
                <w:rFonts w:ascii="仿宋" w:hAnsi="仿宋" w:eastAsia="仿宋"/>
                <w:kern w:val="0"/>
                <w:sz w:val="24"/>
              </w:rPr>
            </w:pPr>
            <w:r>
              <w:rPr>
                <w:rFonts w:ascii="仿宋" w:hAnsi="仿宋" w:eastAsia="仿宋"/>
                <w:kern w:val="0"/>
                <w:sz w:val="24"/>
              </w:rPr>
              <w:t>强直性脊柱炎</w:t>
            </w:r>
          </w:p>
        </w:tc>
        <w:tc>
          <w:tcPr>
            <w:tcW w:w="1180" w:type="dxa"/>
            <w:tcBorders>
              <w:top w:val="nil"/>
              <w:left w:val="nil"/>
              <w:bottom w:val="single" w:color="auto" w:sz="4" w:space="0"/>
              <w:right w:val="single" w:color="auto" w:sz="4" w:space="0"/>
            </w:tcBorders>
            <w:vAlign w:val="center"/>
          </w:tcPr>
          <w:p w14:paraId="0B408D7D">
            <w:pPr>
              <w:widowControl/>
              <w:jc w:val="center"/>
              <w:rPr>
                <w:rFonts w:ascii="仿宋" w:hAnsi="仿宋" w:eastAsia="仿宋"/>
                <w:kern w:val="0"/>
                <w:sz w:val="24"/>
              </w:rPr>
            </w:pPr>
            <w:r>
              <w:rPr>
                <w:rFonts w:ascii="仿宋" w:hAnsi="仿宋" w:eastAsia="仿宋"/>
                <w:kern w:val="0"/>
                <w:sz w:val="24"/>
              </w:rPr>
              <w:t>85</w:t>
            </w:r>
          </w:p>
        </w:tc>
        <w:tc>
          <w:tcPr>
            <w:tcW w:w="1394" w:type="dxa"/>
            <w:tcBorders>
              <w:top w:val="nil"/>
              <w:left w:val="nil"/>
              <w:bottom w:val="single" w:color="auto" w:sz="4" w:space="0"/>
              <w:right w:val="single" w:color="auto" w:sz="4" w:space="0"/>
            </w:tcBorders>
            <w:vAlign w:val="center"/>
          </w:tcPr>
          <w:p w14:paraId="5FCD4293">
            <w:pPr>
              <w:widowControl/>
              <w:jc w:val="center"/>
              <w:rPr>
                <w:rFonts w:ascii="仿宋" w:hAnsi="仿宋" w:eastAsia="仿宋" w:cs="宋体"/>
                <w:kern w:val="0"/>
                <w:sz w:val="24"/>
              </w:rPr>
            </w:pPr>
            <w:r>
              <w:rPr>
                <w:rFonts w:hint="eastAsia" w:ascii="仿宋" w:hAnsi="仿宋" w:eastAsia="仿宋" w:cs="宋体"/>
                <w:kern w:val="0"/>
                <w:sz w:val="24"/>
              </w:rPr>
              <w:t>6000</w:t>
            </w:r>
          </w:p>
        </w:tc>
        <w:tc>
          <w:tcPr>
            <w:tcW w:w="1174" w:type="dxa"/>
            <w:tcBorders>
              <w:top w:val="nil"/>
              <w:left w:val="nil"/>
              <w:bottom w:val="single" w:color="auto" w:sz="4" w:space="0"/>
              <w:right w:val="single" w:color="auto" w:sz="4" w:space="0"/>
            </w:tcBorders>
            <w:vAlign w:val="center"/>
          </w:tcPr>
          <w:p w14:paraId="2E24B188">
            <w:pPr>
              <w:widowControl/>
              <w:jc w:val="center"/>
              <w:rPr>
                <w:rFonts w:ascii="仿宋" w:hAnsi="仿宋" w:eastAsia="仿宋" w:cs="宋体"/>
                <w:kern w:val="0"/>
                <w:sz w:val="24"/>
              </w:rPr>
            </w:pPr>
            <w:r>
              <w:rPr>
                <w:rFonts w:hint="eastAsia" w:ascii="仿宋" w:hAnsi="仿宋" w:eastAsia="仿宋" w:cs="宋体"/>
                <w:kern w:val="0"/>
                <w:sz w:val="24"/>
              </w:rPr>
              <w:t>70</w:t>
            </w:r>
          </w:p>
        </w:tc>
        <w:tc>
          <w:tcPr>
            <w:tcW w:w="1560" w:type="dxa"/>
            <w:tcBorders>
              <w:top w:val="nil"/>
              <w:left w:val="nil"/>
              <w:bottom w:val="single" w:color="auto" w:sz="4" w:space="0"/>
              <w:right w:val="single" w:color="auto" w:sz="4" w:space="0"/>
            </w:tcBorders>
            <w:vAlign w:val="center"/>
          </w:tcPr>
          <w:p w14:paraId="68AC3C6E">
            <w:pPr>
              <w:widowControl/>
              <w:jc w:val="center"/>
              <w:rPr>
                <w:rFonts w:ascii="仿宋" w:hAnsi="仿宋" w:eastAsia="仿宋" w:cs="宋体"/>
                <w:kern w:val="0"/>
                <w:sz w:val="24"/>
              </w:rPr>
            </w:pPr>
            <w:r>
              <w:rPr>
                <w:rFonts w:hint="eastAsia" w:ascii="仿宋" w:hAnsi="仿宋" w:eastAsia="仿宋" w:cs="宋体"/>
                <w:kern w:val="0"/>
                <w:sz w:val="24"/>
              </w:rPr>
              <w:t>4000</w:t>
            </w:r>
          </w:p>
        </w:tc>
        <w:tc>
          <w:tcPr>
            <w:tcW w:w="1487" w:type="dxa"/>
            <w:tcBorders>
              <w:top w:val="nil"/>
              <w:left w:val="nil"/>
              <w:bottom w:val="single" w:color="auto" w:sz="4" w:space="0"/>
              <w:right w:val="single" w:color="auto" w:sz="4" w:space="0"/>
            </w:tcBorders>
            <w:vAlign w:val="center"/>
          </w:tcPr>
          <w:p w14:paraId="093BFA7D">
            <w:pPr>
              <w:widowControl/>
              <w:jc w:val="center"/>
              <w:rPr>
                <w:rFonts w:ascii="仿宋" w:hAnsi="仿宋" w:eastAsia="仿宋" w:cs="宋体"/>
                <w:kern w:val="0"/>
                <w:sz w:val="24"/>
              </w:rPr>
            </w:pPr>
            <w:r>
              <w:rPr>
                <w:rFonts w:hint="eastAsia" w:ascii="仿宋" w:hAnsi="仿宋" w:eastAsia="仿宋" w:cs="宋体"/>
                <w:kern w:val="0"/>
                <w:sz w:val="24"/>
              </w:rPr>
              <w:t>10年</w:t>
            </w:r>
          </w:p>
        </w:tc>
      </w:tr>
      <w:tr w14:paraId="3400C7DC">
        <w:tblPrEx>
          <w:tblCellMar>
            <w:top w:w="0" w:type="dxa"/>
            <w:left w:w="0" w:type="dxa"/>
            <w:bottom w:w="0" w:type="dxa"/>
            <w:right w:w="0" w:type="dxa"/>
          </w:tblCellMar>
        </w:tblPrEx>
        <w:trPr>
          <w:trHeight w:val="465" w:hRule="atLeast"/>
          <w:jc w:val="right"/>
        </w:trPr>
        <w:tc>
          <w:tcPr>
            <w:tcW w:w="755" w:type="dxa"/>
            <w:tcBorders>
              <w:top w:val="nil"/>
              <w:left w:val="single" w:color="auto" w:sz="4" w:space="0"/>
              <w:bottom w:val="single" w:color="auto" w:sz="4" w:space="0"/>
              <w:right w:val="single" w:color="auto" w:sz="4" w:space="0"/>
            </w:tcBorders>
            <w:shd w:val="clear" w:color="auto" w:fill="auto"/>
            <w:vAlign w:val="center"/>
          </w:tcPr>
          <w:p w14:paraId="2296B1B6">
            <w:pPr>
              <w:widowControl/>
              <w:jc w:val="center"/>
              <w:rPr>
                <w:rFonts w:ascii="仿宋" w:hAnsi="仿宋" w:eastAsia="仿宋"/>
                <w:kern w:val="0"/>
                <w:sz w:val="24"/>
              </w:rPr>
            </w:pPr>
            <w:r>
              <w:rPr>
                <w:rFonts w:ascii="仿宋" w:hAnsi="仿宋" w:eastAsia="仿宋"/>
                <w:kern w:val="0"/>
                <w:sz w:val="24"/>
              </w:rPr>
              <w:t>3</w:t>
            </w:r>
          </w:p>
        </w:tc>
        <w:tc>
          <w:tcPr>
            <w:tcW w:w="822" w:type="dxa"/>
            <w:vMerge w:val="continue"/>
            <w:tcBorders>
              <w:left w:val="single" w:color="auto" w:sz="4" w:space="0"/>
              <w:right w:val="single" w:color="auto" w:sz="4" w:space="0"/>
            </w:tcBorders>
            <w:shd w:val="clear" w:color="auto" w:fill="auto"/>
            <w:vAlign w:val="center"/>
          </w:tcPr>
          <w:p w14:paraId="26F86AAB">
            <w:pPr>
              <w:widowControl/>
              <w:jc w:val="left"/>
              <w:rPr>
                <w:rFonts w:ascii="仿宋" w:hAnsi="仿宋" w:eastAsia="仿宋"/>
                <w:kern w:val="0"/>
                <w:sz w:val="24"/>
              </w:rPr>
            </w:pPr>
          </w:p>
        </w:tc>
        <w:tc>
          <w:tcPr>
            <w:tcW w:w="1386" w:type="dxa"/>
            <w:tcBorders>
              <w:top w:val="nil"/>
              <w:left w:val="nil"/>
              <w:bottom w:val="single" w:color="auto" w:sz="4" w:space="0"/>
              <w:right w:val="single" w:color="auto" w:sz="4" w:space="0"/>
            </w:tcBorders>
            <w:shd w:val="clear" w:color="000000" w:fill="FFFFFF"/>
            <w:vAlign w:val="center"/>
          </w:tcPr>
          <w:p w14:paraId="54FBD4C3">
            <w:pPr>
              <w:widowControl/>
              <w:jc w:val="center"/>
              <w:rPr>
                <w:rFonts w:ascii="仿宋" w:hAnsi="仿宋" w:eastAsia="仿宋"/>
                <w:kern w:val="0"/>
                <w:sz w:val="24"/>
              </w:rPr>
            </w:pPr>
            <w:r>
              <w:rPr>
                <w:rFonts w:ascii="仿宋" w:hAnsi="仿宋" w:eastAsia="仿宋"/>
                <w:kern w:val="0"/>
                <w:sz w:val="24"/>
              </w:rPr>
              <w:t>M01628</w:t>
            </w:r>
          </w:p>
        </w:tc>
        <w:tc>
          <w:tcPr>
            <w:tcW w:w="3598" w:type="dxa"/>
            <w:tcBorders>
              <w:top w:val="nil"/>
              <w:left w:val="nil"/>
              <w:bottom w:val="single" w:color="auto" w:sz="4" w:space="0"/>
              <w:right w:val="single" w:color="auto" w:sz="4" w:space="0"/>
            </w:tcBorders>
            <w:shd w:val="clear" w:color="000000" w:fill="FFFFFF"/>
            <w:vAlign w:val="center"/>
          </w:tcPr>
          <w:p w14:paraId="47E514E7">
            <w:pPr>
              <w:widowControl/>
              <w:jc w:val="center"/>
              <w:rPr>
                <w:rFonts w:ascii="仿宋" w:hAnsi="仿宋" w:eastAsia="仿宋"/>
                <w:kern w:val="0"/>
                <w:sz w:val="24"/>
              </w:rPr>
            </w:pPr>
            <w:r>
              <w:rPr>
                <w:rFonts w:ascii="仿宋" w:hAnsi="仿宋" w:eastAsia="仿宋"/>
                <w:kern w:val="0"/>
                <w:sz w:val="24"/>
              </w:rPr>
              <w:t>糖尿病伴有并发症(2种以内）</w:t>
            </w:r>
          </w:p>
        </w:tc>
        <w:tc>
          <w:tcPr>
            <w:tcW w:w="1180" w:type="dxa"/>
            <w:tcBorders>
              <w:top w:val="nil"/>
              <w:left w:val="nil"/>
              <w:bottom w:val="single" w:color="auto" w:sz="4" w:space="0"/>
              <w:right w:val="single" w:color="auto" w:sz="4" w:space="0"/>
            </w:tcBorders>
            <w:vAlign w:val="center"/>
          </w:tcPr>
          <w:p w14:paraId="36E241FD">
            <w:pPr>
              <w:widowControl/>
              <w:jc w:val="center"/>
              <w:rPr>
                <w:rFonts w:ascii="仿宋" w:hAnsi="仿宋" w:eastAsia="仿宋"/>
                <w:kern w:val="0"/>
                <w:sz w:val="24"/>
              </w:rPr>
            </w:pPr>
            <w:r>
              <w:rPr>
                <w:rFonts w:ascii="仿宋" w:hAnsi="仿宋" w:eastAsia="仿宋"/>
                <w:kern w:val="0"/>
                <w:sz w:val="24"/>
              </w:rPr>
              <w:t>85</w:t>
            </w:r>
          </w:p>
        </w:tc>
        <w:tc>
          <w:tcPr>
            <w:tcW w:w="1394" w:type="dxa"/>
            <w:tcBorders>
              <w:top w:val="nil"/>
              <w:left w:val="nil"/>
              <w:bottom w:val="single" w:color="auto" w:sz="4" w:space="0"/>
              <w:right w:val="single" w:color="auto" w:sz="4" w:space="0"/>
            </w:tcBorders>
            <w:vAlign w:val="center"/>
          </w:tcPr>
          <w:p w14:paraId="4BFB3225">
            <w:pPr>
              <w:widowControl/>
              <w:jc w:val="center"/>
              <w:rPr>
                <w:rFonts w:ascii="仿宋" w:hAnsi="仿宋" w:eastAsia="仿宋" w:cs="宋体"/>
                <w:kern w:val="0"/>
                <w:sz w:val="24"/>
              </w:rPr>
            </w:pPr>
            <w:r>
              <w:rPr>
                <w:rFonts w:hint="eastAsia" w:ascii="仿宋" w:hAnsi="仿宋" w:eastAsia="仿宋" w:cs="宋体"/>
                <w:kern w:val="0"/>
                <w:sz w:val="24"/>
              </w:rPr>
              <w:t>5000</w:t>
            </w:r>
          </w:p>
        </w:tc>
        <w:tc>
          <w:tcPr>
            <w:tcW w:w="1174" w:type="dxa"/>
            <w:tcBorders>
              <w:top w:val="nil"/>
              <w:left w:val="nil"/>
              <w:bottom w:val="single" w:color="auto" w:sz="4" w:space="0"/>
              <w:right w:val="single" w:color="auto" w:sz="4" w:space="0"/>
            </w:tcBorders>
            <w:vAlign w:val="center"/>
          </w:tcPr>
          <w:p w14:paraId="6BB39EA9">
            <w:pPr>
              <w:widowControl/>
              <w:jc w:val="center"/>
              <w:rPr>
                <w:rFonts w:ascii="仿宋" w:hAnsi="仿宋" w:eastAsia="仿宋" w:cs="宋体"/>
                <w:kern w:val="0"/>
                <w:sz w:val="24"/>
              </w:rPr>
            </w:pPr>
            <w:r>
              <w:rPr>
                <w:rFonts w:hint="eastAsia" w:ascii="仿宋" w:hAnsi="仿宋" w:eastAsia="仿宋" w:cs="宋体"/>
                <w:kern w:val="0"/>
                <w:sz w:val="24"/>
              </w:rPr>
              <w:t>70</w:t>
            </w:r>
          </w:p>
        </w:tc>
        <w:tc>
          <w:tcPr>
            <w:tcW w:w="1560" w:type="dxa"/>
            <w:tcBorders>
              <w:top w:val="nil"/>
              <w:left w:val="nil"/>
              <w:bottom w:val="single" w:color="auto" w:sz="4" w:space="0"/>
              <w:right w:val="single" w:color="auto" w:sz="4" w:space="0"/>
            </w:tcBorders>
            <w:vAlign w:val="center"/>
          </w:tcPr>
          <w:p w14:paraId="30D1618C">
            <w:pPr>
              <w:widowControl/>
              <w:jc w:val="center"/>
              <w:rPr>
                <w:rFonts w:ascii="仿宋" w:hAnsi="仿宋" w:eastAsia="仿宋" w:cs="宋体"/>
                <w:kern w:val="0"/>
                <w:sz w:val="24"/>
              </w:rPr>
            </w:pPr>
            <w:r>
              <w:rPr>
                <w:rFonts w:hint="eastAsia" w:ascii="仿宋" w:hAnsi="仿宋" w:eastAsia="仿宋" w:cs="宋体"/>
                <w:kern w:val="0"/>
                <w:sz w:val="24"/>
              </w:rPr>
              <w:t>3000</w:t>
            </w:r>
          </w:p>
        </w:tc>
        <w:tc>
          <w:tcPr>
            <w:tcW w:w="1487" w:type="dxa"/>
            <w:tcBorders>
              <w:top w:val="nil"/>
              <w:left w:val="nil"/>
              <w:bottom w:val="single" w:color="auto" w:sz="4" w:space="0"/>
              <w:right w:val="single" w:color="auto" w:sz="4" w:space="0"/>
            </w:tcBorders>
            <w:vAlign w:val="center"/>
          </w:tcPr>
          <w:p w14:paraId="047839AC">
            <w:pPr>
              <w:widowControl/>
              <w:jc w:val="center"/>
              <w:rPr>
                <w:rFonts w:ascii="仿宋" w:hAnsi="仿宋" w:eastAsia="仿宋" w:cs="宋体"/>
                <w:kern w:val="0"/>
                <w:sz w:val="24"/>
              </w:rPr>
            </w:pPr>
            <w:r>
              <w:rPr>
                <w:rFonts w:hint="eastAsia" w:ascii="仿宋" w:hAnsi="仿宋" w:eastAsia="仿宋" w:cs="宋体"/>
                <w:kern w:val="0"/>
                <w:sz w:val="24"/>
              </w:rPr>
              <w:t>长期</w:t>
            </w:r>
          </w:p>
        </w:tc>
      </w:tr>
      <w:tr w14:paraId="64D8F1C2">
        <w:tblPrEx>
          <w:tblCellMar>
            <w:top w:w="0" w:type="dxa"/>
            <w:left w:w="0" w:type="dxa"/>
            <w:bottom w:w="0" w:type="dxa"/>
            <w:right w:w="0" w:type="dxa"/>
          </w:tblCellMar>
        </w:tblPrEx>
        <w:trPr>
          <w:trHeight w:val="465" w:hRule="atLeast"/>
          <w:jc w:val="right"/>
        </w:trPr>
        <w:tc>
          <w:tcPr>
            <w:tcW w:w="755" w:type="dxa"/>
            <w:tcBorders>
              <w:top w:val="nil"/>
              <w:left w:val="single" w:color="auto" w:sz="4" w:space="0"/>
              <w:bottom w:val="single" w:color="auto" w:sz="4" w:space="0"/>
              <w:right w:val="single" w:color="auto" w:sz="4" w:space="0"/>
            </w:tcBorders>
            <w:shd w:val="clear" w:color="auto" w:fill="auto"/>
            <w:vAlign w:val="center"/>
          </w:tcPr>
          <w:p w14:paraId="6B54D73A">
            <w:pPr>
              <w:widowControl/>
              <w:jc w:val="center"/>
              <w:rPr>
                <w:rFonts w:ascii="仿宋" w:hAnsi="仿宋" w:eastAsia="仿宋"/>
                <w:kern w:val="0"/>
                <w:sz w:val="24"/>
              </w:rPr>
            </w:pPr>
            <w:r>
              <w:rPr>
                <w:rFonts w:ascii="仿宋" w:hAnsi="仿宋" w:eastAsia="仿宋"/>
                <w:kern w:val="0"/>
                <w:sz w:val="24"/>
              </w:rPr>
              <w:t>4</w:t>
            </w:r>
          </w:p>
        </w:tc>
        <w:tc>
          <w:tcPr>
            <w:tcW w:w="822" w:type="dxa"/>
            <w:vMerge w:val="continue"/>
            <w:tcBorders>
              <w:left w:val="single" w:color="auto" w:sz="4" w:space="0"/>
              <w:right w:val="single" w:color="auto" w:sz="4" w:space="0"/>
            </w:tcBorders>
            <w:shd w:val="clear" w:color="auto" w:fill="auto"/>
            <w:vAlign w:val="center"/>
          </w:tcPr>
          <w:p w14:paraId="4DFF0992">
            <w:pPr>
              <w:widowControl/>
              <w:jc w:val="left"/>
              <w:rPr>
                <w:rFonts w:ascii="仿宋" w:hAnsi="仿宋" w:eastAsia="仿宋"/>
                <w:kern w:val="0"/>
                <w:sz w:val="24"/>
              </w:rPr>
            </w:pPr>
          </w:p>
        </w:tc>
        <w:tc>
          <w:tcPr>
            <w:tcW w:w="1386" w:type="dxa"/>
            <w:tcBorders>
              <w:top w:val="nil"/>
              <w:left w:val="nil"/>
              <w:bottom w:val="single" w:color="auto" w:sz="4" w:space="0"/>
              <w:right w:val="single" w:color="auto" w:sz="4" w:space="0"/>
            </w:tcBorders>
            <w:shd w:val="clear" w:color="000000" w:fill="FFFFFF"/>
            <w:vAlign w:val="center"/>
          </w:tcPr>
          <w:p w14:paraId="459DB233">
            <w:pPr>
              <w:widowControl/>
              <w:jc w:val="center"/>
              <w:rPr>
                <w:rFonts w:ascii="仿宋" w:hAnsi="仿宋" w:eastAsia="仿宋"/>
                <w:kern w:val="0"/>
                <w:sz w:val="24"/>
              </w:rPr>
            </w:pPr>
            <w:r>
              <w:rPr>
                <w:rFonts w:ascii="仿宋" w:hAnsi="仿宋" w:eastAsia="仿宋"/>
                <w:kern w:val="0"/>
                <w:sz w:val="24"/>
              </w:rPr>
              <w:t>M01629</w:t>
            </w:r>
          </w:p>
        </w:tc>
        <w:tc>
          <w:tcPr>
            <w:tcW w:w="3598" w:type="dxa"/>
            <w:tcBorders>
              <w:top w:val="nil"/>
              <w:left w:val="nil"/>
              <w:bottom w:val="single" w:color="auto" w:sz="4" w:space="0"/>
              <w:right w:val="single" w:color="auto" w:sz="4" w:space="0"/>
            </w:tcBorders>
            <w:shd w:val="clear" w:color="000000" w:fill="FFFFFF"/>
            <w:vAlign w:val="center"/>
          </w:tcPr>
          <w:p w14:paraId="55970CB6">
            <w:pPr>
              <w:widowControl/>
              <w:jc w:val="center"/>
              <w:rPr>
                <w:rFonts w:ascii="仿宋" w:hAnsi="仿宋" w:eastAsia="仿宋"/>
                <w:kern w:val="0"/>
                <w:sz w:val="24"/>
              </w:rPr>
            </w:pPr>
            <w:r>
              <w:rPr>
                <w:rFonts w:ascii="仿宋" w:hAnsi="仿宋" w:eastAsia="仿宋"/>
                <w:kern w:val="0"/>
                <w:sz w:val="24"/>
              </w:rPr>
              <w:t>糖尿病伴有并发症（3种及以上）</w:t>
            </w:r>
          </w:p>
        </w:tc>
        <w:tc>
          <w:tcPr>
            <w:tcW w:w="1180" w:type="dxa"/>
            <w:tcBorders>
              <w:top w:val="nil"/>
              <w:left w:val="nil"/>
              <w:bottom w:val="single" w:color="auto" w:sz="4" w:space="0"/>
              <w:right w:val="single" w:color="auto" w:sz="4" w:space="0"/>
            </w:tcBorders>
            <w:vAlign w:val="center"/>
          </w:tcPr>
          <w:p w14:paraId="3196D349">
            <w:pPr>
              <w:widowControl/>
              <w:jc w:val="center"/>
              <w:rPr>
                <w:rFonts w:ascii="仿宋" w:hAnsi="仿宋" w:eastAsia="仿宋"/>
                <w:kern w:val="0"/>
                <w:sz w:val="24"/>
              </w:rPr>
            </w:pPr>
            <w:r>
              <w:rPr>
                <w:rFonts w:ascii="仿宋" w:hAnsi="仿宋" w:eastAsia="仿宋"/>
                <w:kern w:val="0"/>
                <w:sz w:val="24"/>
              </w:rPr>
              <w:t>85</w:t>
            </w:r>
          </w:p>
        </w:tc>
        <w:tc>
          <w:tcPr>
            <w:tcW w:w="1394" w:type="dxa"/>
            <w:tcBorders>
              <w:top w:val="nil"/>
              <w:left w:val="nil"/>
              <w:bottom w:val="single" w:color="auto" w:sz="4" w:space="0"/>
              <w:right w:val="single" w:color="auto" w:sz="4" w:space="0"/>
            </w:tcBorders>
            <w:vAlign w:val="center"/>
          </w:tcPr>
          <w:p w14:paraId="097F6B4D">
            <w:pPr>
              <w:widowControl/>
              <w:jc w:val="center"/>
              <w:rPr>
                <w:rFonts w:ascii="仿宋" w:hAnsi="仿宋" w:eastAsia="仿宋" w:cs="宋体"/>
                <w:kern w:val="0"/>
                <w:sz w:val="24"/>
              </w:rPr>
            </w:pPr>
            <w:r>
              <w:rPr>
                <w:rFonts w:hint="eastAsia" w:ascii="仿宋" w:hAnsi="仿宋" w:eastAsia="仿宋" w:cs="宋体"/>
                <w:kern w:val="0"/>
                <w:sz w:val="24"/>
              </w:rPr>
              <w:t>7000</w:t>
            </w:r>
          </w:p>
        </w:tc>
        <w:tc>
          <w:tcPr>
            <w:tcW w:w="1174" w:type="dxa"/>
            <w:tcBorders>
              <w:top w:val="nil"/>
              <w:left w:val="nil"/>
              <w:bottom w:val="single" w:color="auto" w:sz="4" w:space="0"/>
              <w:right w:val="single" w:color="auto" w:sz="4" w:space="0"/>
            </w:tcBorders>
            <w:vAlign w:val="center"/>
          </w:tcPr>
          <w:p w14:paraId="18A2E78B">
            <w:pPr>
              <w:widowControl/>
              <w:jc w:val="center"/>
              <w:rPr>
                <w:rFonts w:ascii="仿宋" w:hAnsi="仿宋" w:eastAsia="仿宋" w:cs="宋体"/>
                <w:kern w:val="0"/>
                <w:sz w:val="24"/>
              </w:rPr>
            </w:pPr>
            <w:r>
              <w:rPr>
                <w:rFonts w:hint="eastAsia" w:ascii="仿宋" w:hAnsi="仿宋" w:eastAsia="仿宋" w:cs="宋体"/>
                <w:kern w:val="0"/>
                <w:sz w:val="24"/>
              </w:rPr>
              <w:t>70</w:t>
            </w:r>
          </w:p>
        </w:tc>
        <w:tc>
          <w:tcPr>
            <w:tcW w:w="1560" w:type="dxa"/>
            <w:tcBorders>
              <w:top w:val="nil"/>
              <w:left w:val="nil"/>
              <w:bottom w:val="single" w:color="auto" w:sz="4" w:space="0"/>
              <w:right w:val="single" w:color="auto" w:sz="4" w:space="0"/>
            </w:tcBorders>
            <w:vAlign w:val="center"/>
          </w:tcPr>
          <w:p w14:paraId="385AAF08">
            <w:pPr>
              <w:widowControl/>
              <w:jc w:val="center"/>
              <w:rPr>
                <w:rFonts w:ascii="仿宋" w:hAnsi="仿宋" w:eastAsia="仿宋" w:cs="宋体"/>
                <w:kern w:val="0"/>
                <w:sz w:val="24"/>
              </w:rPr>
            </w:pPr>
            <w:r>
              <w:rPr>
                <w:rFonts w:hint="eastAsia" w:ascii="仿宋" w:hAnsi="仿宋" w:eastAsia="仿宋" w:cs="宋体"/>
                <w:kern w:val="0"/>
                <w:sz w:val="24"/>
              </w:rPr>
              <w:t>5000</w:t>
            </w:r>
          </w:p>
        </w:tc>
        <w:tc>
          <w:tcPr>
            <w:tcW w:w="1487" w:type="dxa"/>
            <w:tcBorders>
              <w:top w:val="nil"/>
              <w:left w:val="nil"/>
              <w:bottom w:val="single" w:color="auto" w:sz="4" w:space="0"/>
              <w:right w:val="single" w:color="auto" w:sz="4" w:space="0"/>
            </w:tcBorders>
            <w:vAlign w:val="center"/>
          </w:tcPr>
          <w:p w14:paraId="500C878B">
            <w:pPr>
              <w:widowControl/>
              <w:jc w:val="center"/>
              <w:rPr>
                <w:rFonts w:ascii="仿宋" w:hAnsi="仿宋" w:eastAsia="仿宋" w:cs="宋体"/>
                <w:kern w:val="0"/>
                <w:sz w:val="24"/>
              </w:rPr>
            </w:pPr>
            <w:r>
              <w:rPr>
                <w:rFonts w:hint="eastAsia" w:ascii="仿宋" w:hAnsi="仿宋" w:eastAsia="仿宋" w:cs="宋体"/>
                <w:kern w:val="0"/>
                <w:sz w:val="24"/>
              </w:rPr>
              <w:t>长期</w:t>
            </w:r>
          </w:p>
        </w:tc>
      </w:tr>
      <w:tr w14:paraId="6403E401">
        <w:tblPrEx>
          <w:tblCellMar>
            <w:top w:w="0" w:type="dxa"/>
            <w:left w:w="0" w:type="dxa"/>
            <w:bottom w:w="0" w:type="dxa"/>
            <w:right w:w="0" w:type="dxa"/>
          </w:tblCellMar>
        </w:tblPrEx>
        <w:trPr>
          <w:trHeight w:val="465" w:hRule="atLeast"/>
          <w:jc w:val="right"/>
        </w:trPr>
        <w:tc>
          <w:tcPr>
            <w:tcW w:w="755" w:type="dxa"/>
            <w:tcBorders>
              <w:top w:val="nil"/>
              <w:left w:val="single" w:color="auto" w:sz="4" w:space="0"/>
              <w:bottom w:val="single" w:color="auto" w:sz="4" w:space="0"/>
              <w:right w:val="single" w:color="auto" w:sz="4" w:space="0"/>
            </w:tcBorders>
            <w:shd w:val="clear" w:color="auto" w:fill="auto"/>
            <w:vAlign w:val="center"/>
          </w:tcPr>
          <w:p w14:paraId="13191A80">
            <w:pPr>
              <w:widowControl/>
              <w:jc w:val="center"/>
              <w:rPr>
                <w:rFonts w:ascii="仿宋" w:hAnsi="仿宋" w:eastAsia="仿宋"/>
                <w:kern w:val="0"/>
                <w:sz w:val="24"/>
              </w:rPr>
            </w:pPr>
            <w:r>
              <w:rPr>
                <w:rFonts w:ascii="仿宋" w:hAnsi="仿宋" w:eastAsia="仿宋"/>
                <w:kern w:val="0"/>
                <w:sz w:val="24"/>
              </w:rPr>
              <w:t>5</w:t>
            </w:r>
          </w:p>
        </w:tc>
        <w:tc>
          <w:tcPr>
            <w:tcW w:w="822" w:type="dxa"/>
            <w:vMerge w:val="continue"/>
            <w:tcBorders>
              <w:left w:val="single" w:color="auto" w:sz="4" w:space="0"/>
              <w:right w:val="single" w:color="auto" w:sz="4" w:space="0"/>
            </w:tcBorders>
            <w:shd w:val="clear" w:color="auto" w:fill="auto"/>
            <w:vAlign w:val="center"/>
          </w:tcPr>
          <w:p w14:paraId="134A6205">
            <w:pPr>
              <w:widowControl/>
              <w:jc w:val="left"/>
              <w:rPr>
                <w:rFonts w:ascii="仿宋" w:hAnsi="仿宋" w:eastAsia="仿宋"/>
                <w:kern w:val="0"/>
                <w:sz w:val="24"/>
              </w:rPr>
            </w:pPr>
          </w:p>
        </w:tc>
        <w:tc>
          <w:tcPr>
            <w:tcW w:w="1386" w:type="dxa"/>
            <w:tcBorders>
              <w:top w:val="nil"/>
              <w:left w:val="nil"/>
              <w:bottom w:val="single" w:color="auto" w:sz="4" w:space="0"/>
              <w:right w:val="single" w:color="auto" w:sz="4" w:space="0"/>
            </w:tcBorders>
            <w:shd w:val="clear" w:color="000000" w:fill="FFFFFF"/>
            <w:vAlign w:val="center"/>
          </w:tcPr>
          <w:p w14:paraId="4D41CB6B">
            <w:pPr>
              <w:widowControl/>
              <w:jc w:val="center"/>
              <w:rPr>
                <w:rFonts w:ascii="仿宋" w:hAnsi="仿宋" w:eastAsia="仿宋"/>
                <w:kern w:val="0"/>
                <w:sz w:val="24"/>
              </w:rPr>
            </w:pPr>
            <w:r>
              <w:rPr>
                <w:rFonts w:ascii="仿宋" w:hAnsi="仿宋" w:eastAsia="仿宋"/>
                <w:kern w:val="0"/>
                <w:sz w:val="24"/>
              </w:rPr>
              <w:t>M01702</w:t>
            </w:r>
          </w:p>
        </w:tc>
        <w:tc>
          <w:tcPr>
            <w:tcW w:w="3598" w:type="dxa"/>
            <w:tcBorders>
              <w:top w:val="nil"/>
              <w:left w:val="nil"/>
              <w:bottom w:val="single" w:color="auto" w:sz="4" w:space="0"/>
              <w:right w:val="single" w:color="auto" w:sz="4" w:space="0"/>
            </w:tcBorders>
            <w:shd w:val="clear" w:color="000000" w:fill="FFFFFF"/>
            <w:vAlign w:val="center"/>
          </w:tcPr>
          <w:p w14:paraId="613ED3BB">
            <w:pPr>
              <w:widowControl/>
              <w:jc w:val="center"/>
              <w:rPr>
                <w:rFonts w:ascii="仿宋" w:hAnsi="仿宋" w:eastAsia="仿宋"/>
                <w:kern w:val="0"/>
                <w:sz w:val="24"/>
              </w:rPr>
            </w:pPr>
            <w:r>
              <w:rPr>
                <w:rFonts w:ascii="仿宋" w:hAnsi="仿宋" w:eastAsia="仿宋"/>
                <w:kern w:val="0"/>
                <w:sz w:val="24"/>
              </w:rPr>
              <w:t>甲状腺功能亢进症</w:t>
            </w:r>
          </w:p>
        </w:tc>
        <w:tc>
          <w:tcPr>
            <w:tcW w:w="1180" w:type="dxa"/>
            <w:tcBorders>
              <w:top w:val="nil"/>
              <w:left w:val="nil"/>
              <w:bottom w:val="single" w:color="auto" w:sz="4" w:space="0"/>
              <w:right w:val="single" w:color="auto" w:sz="4" w:space="0"/>
            </w:tcBorders>
            <w:vAlign w:val="center"/>
          </w:tcPr>
          <w:p w14:paraId="70625848">
            <w:pPr>
              <w:widowControl/>
              <w:jc w:val="center"/>
              <w:rPr>
                <w:rFonts w:ascii="仿宋" w:hAnsi="仿宋" w:eastAsia="仿宋"/>
                <w:kern w:val="0"/>
                <w:sz w:val="24"/>
              </w:rPr>
            </w:pPr>
            <w:r>
              <w:rPr>
                <w:rFonts w:ascii="仿宋" w:hAnsi="仿宋" w:eastAsia="仿宋"/>
                <w:kern w:val="0"/>
                <w:sz w:val="24"/>
              </w:rPr>
              <w:t>85</w:t>
            </w:r>
          </w:p>
        </w:tc>
        <w:tc>
          <w:tcPr>
            <w:tcW w:w="1394" w:type="dxa"/>
            <w:tcBorders>
              <w:top w:val="nil"/>
              <w:left w:val="nil"/>
              <w:bottom w:val="single" w:color="auto" w:sz="4" w:space="0"/>
              <w:right w:val="single" w:color="auto" w:sz="4" w:space="0"/>
            </w:tcBorders>
            <w:vAlign w:val="center"/>
          </w:tcPr>
          <w:p w14:paraId="557251B7">
            <w:pPr>
              <w:widowControl/>
              <w:jc w:val="center"/>
              <w:rPr>
                <w:rFonts w:ascii="仿宋" w:hAnsi="仿宋" w:eastAsia="仿宋" w:cs="宋体"/>
                <w:kern w:val="0"/>
                <w:sz w:val="24"/>
              </w:rPr>
            </w:pPr>
            <w:r>
              <w:rPr>
                <w:rFonts w:hint="eastAsia" w:ascii="仿宋" w:hAnsi="仿宋" w:eastAsia="仿宋" w:cs="宋体"/>
                <w:kern w:val="0"/>
                <w:sz w:val="24"/>
              </w:rPr>
              <w:t>3000</w:t>
            </w:r>
          </w:p>
        </w:tc>
        <w:tc>
          <w:tcPr>
            <w:tcW w:w="1174" w:type="dxa"/>
            <w:tcBorders>
              <w:top w:val="nil"/>
              <w:left w:val="nil"/>
              <w:bottom w:val="single" w:color="auto" w:sz="4" w:space="0"/>
              <w:right w:val="single" w:color="auto" w:sz="4" w:space="0"/>
            </w:tcBorders>
            <w:vAlign w:val="center"/>
          </w:tcPr>
          <w:p w14:paraId="0BDC329B">
            <w:pPr>
              <w:widowControl/>
              <w:jc w:val="center"/>
              <w:rPr>
                <w:rFonts w:ascii="仿宋" w:hAnsi="仿宋" w:eastAsia="仿宋" w:cs="宋体"/>
                <w:kern w:val="0"/>
                <w:sz w:val="24"/>
              </w:rPr>
            </w:pPr>
            <w:r>
              <w:rPr>
                <w:rFonts w:hint="eastAsia" w:ascii="仿宋" w:hAnsi="仿宋" w:eastAsia="仿宋" w:cs="宋体"/>
                <w:kern w:val="0"/>
                <w:sz w:val="24"/>
              </w:rPr>
              <w:t>70</w:t>
            </w:r>
          </w:p>
        </w:tc>
        <w:tc>
          <w:tcPr>
            <w:tcW w:w="1560" w:type="dxa"/>
            <w:tcBorders>
              <w:top w:val="nil"/>
              <w:left w:val="nil"/>
              <w:bottom w:val="single" w:color="auto" w:sz="4" w:space="0"/>
              <w:right w:val="single" w:color="auto" w:sz="4" w:space="0"/>
            </w:tcBorders>
            <w:vAlign w:val="center"/>
          </w:tcPr>
          <w:p w14:paraId="1D0BBC4C">
            <w:pPr>
              <w:widowControl/>
              <w:jc w:val="center"/>
              <w:rPr>
                <w:rFonts w:ascii="仿宋" w:hAnsi="仿宋" w:eastAsia="仿宋" w:cs="宋体"/>
                <w:kern w:val="0"/>
                <w:sz w:val="24"/>
              </w:rPr>
            </w:pPr>
            <w:r>
              <w:rPr>
                <w:rFonts w:hint="eastAsia" w:ascii="仿宋" w:hAnsi="仿宋" w:eastAsia="仿宋" w:cs="宋体"/>
                <w:kern w:val="0"/>
                <w:sz w:val="24"/>
              </w:rPr>
              <w:t>3000</w:t>
            </w:r>
          </w:p>
        </w:tc>
        <w:tc>
          <w:tcPr>
            <w:tcW w:w="1487" w:type="dxa"/>
            <w:tcBorders>
              <w:top w:val="nil"/>
              <w:left w:val="nil"/>
              <w:bottom w:val="single" w:color="auto" w:sz="4" w:space="0"/>
              <w:right w:val="single" w:color="auto" w:sz="4" w:space="0"/>
            </w:tcBorders>
            <w:vAlign w:val="center"/>
          </w:tcPr>
          <w:p w14:paraId="466927C2">
            <w:pPr>
              <w:widowControl/>
              <w:jc w:val="center"/>
              <w:rPr>
                <w:rFonts w:ascii="仿宋" w:hAnsi="仿宋" w:eastAsia="仿宋" w:cs="宋体"/>
                <w:kern w:val="0"/>
                <w:sz w:val="24"/>
              </w:rPr>
            </w:pPr>
            <w:r>
              <w:rPr>
                <w:rFonts w:hint="eastAsia" w:ascii="仿宋" w:hAnsi="仿宋" w:eastAsia="仿宋" w:cs="宋体"/>
                <w:kern w:val="0"/>
                <w:sz w:val="24"/>
              </w:rPr>
              <w:t>3年</w:t>
            </w:r>
          </w:p>
        </w:tc>
      </w:tr>
      <w:tr w14:paraId="2285996A">
        <w:tblPrEx>
          <w:tblCellMar>
            <w:top w:w="0" w:type="dxa"/>
            <w:left w:w="0" w:type="dxa"/>
            <w:bottom w:w="0" w:type="dxa"/>
            <w:right w:w="0" w:type="dxa"/>
          </w:tblCellMar>
        </w:tblPrEx>
        <w:trPr>
          <w:trHeight w:val="465" w:hRule="atLeast"/>
          <w:jc w:val="right"/>
        </w:trPr>
        <w:tc>
          <w:tcPr>
            <w:tcW w:w="755" w:type="dxa"/>
            <w:tcBorders>
              <w:top w:val="nil"/>
              <w:left w:val="single" w:color="auto" w:sz="4" w:space="0"/>
              <w:bottom w:val="single" w:color="auto" w:sz="4" w:space="0"/>
              <w:right w:val="single" w:color="auto" w:sz="4" w:space="0"/>
            </w:tcBorders>
            <w:shd w:val="clear" w:color="auto" w:fill="auto"/>
            <w:vAlign w:val="center"/>
          </w:tcPr>
          <w:p w14:paraId="3355CAE2">
            <w:pPr>
              <w:widowControl/>
              <w:jc w:val="center"/>
              <w:rPr>
                <w:rFonts w:ascii="仿宋" w:hAnsi="仿宋" w:eastAsia="仿宋"/>
                <w:kern w:val="0"/>
                <w:sz w:val="24"/>
              </w:rPr>
            </w:pPr>
            <w:r>
              <w:rPr>
                <w:rFonts w:ascii="仿宋" w:hAnsi="仿宋" w:eastAsia="仿宋"/>
                <w:kern w:val="0"/>
                <w:sz w:val="24"/>
              </w:rPr>
              <w:t>6</w:t>
            </w:r>
          </w:p>
        </w:tc>
        <w:tc>
          <w:tcPr>
            <w:tcW w:w="822" w:type="dxa"/>
            <w:vMerge w:val="continue"/>
            <w:tcBorders>
              <w:left w:val="single" w:color="auto" w:sz="4" w:space="0"/>
              <w:right w:val="single" w:color="auto" w:sz="4" w:space="0"/>
            </w:tcBorders>
            <w:shd w:val="clear" w:color="auto" w:fill="auto"/>
            <w:vAlign w:val="center"/>
          </w:tcPr>
          <w:p w14:paraId="42911A1A">
            <w:pPr>
              <w:widowControl/>
              <w:jc w:val="left"/>
              <w:rPr>
                <w:rFonts w:ascii="仿宋" w:hAnsi="仿宋" w:eastAsia="仿宋"/>
                <w:kern w:val="0"/>
                <w:sz w:val="24"/>
              </w:rPr>
            </w:pPr>
          </w:p>
        </w:tc>
        <w:tc>
          <w:tcPr>
            <w:tcW w:w="1386" w:type="dxa"/>
            <w:tcBorders>
              <w:top w:val="nil"/>
              <w:left w:val="nil"/>
              <w:bottom w:val="single" w:color="auto" w:sz="4" w:space="0"/>
              <w:right w:val="single" w:color="auto" w:sz="4" w:space="0"/>
            </w:tcBorders>
            <w:shd w:val="clear" w:color="000000" w:fill="FFFFFF"/>
            <w:vAlign w:val="center"/>
          </w:tcPr>
          <w:p w14:paraId="5A104A9F">
            <w:pPr>
              <w:widowControl/>
              <w:jc w:val="center"/>
              <w:rPr>
                <w:rFonts w:ascii="仿宋" w:hAnsi="仿宋" w:eastAsia="仿宋"/>
                <w:kern w:val="0"/>
                <w:sz w:val="24"/>
              </w:rPr>
            </w:pPr>
            <w:r>
              <w:rPr>
                <w:rFonts w:ascii="仿宋" w:hAnsi="仿宋" w:eastAsia="仿宋"/>
                <w:kern w:val="0"/>
                <w:sz w:val="24"/>
              </w:rPr>
              <w:t>M01701</w:t>
            </w:r>
          </w:p>
        </w:tc>
        <w:tc>
          <w:tcPr>
            <w:tcW w:w="3598" w:type="dxa"/>
            <w:tcBorders>
              <w:top w:val="nil"/>
              <w:left w:val="nil"/>
              <w:bottom w:val="single" w:color="auto" w:sz="4" w:space="0"/>
              <w:right w:val="single" w:color="auto" w:sz="4" w:space="0"/>
            </w:tcBorders>
            <w:shd w:val="clear" w:color="000000" w:fill="FFFFFF"/>
            <w:vAlign w:val="center"/>
          </w:tcPr>
          <w:p w14:paraId="288D8445">
            <w:pPr>
              <w:widowControl/>
              <w:jc w:val="center"/>
              <w:rPr>
                <w:rFonts w:ascii="仿宋" w:hAnsi="仿宋" w:eastAsia="仿宋"/>
                <w:kern w:val="0"/>
                <w:sz w:val="24"/>
              </w:rPr>
            </w:pPr>
            <w:r>
              <w:rPr>
                <w:rFonts w:ascii="仿宋" w:hAnsi="仿宋" w:eastAsia="仿宋"/>
                <w:kern w:val="0"/>
                <w:sz w:val="24"/>
              </w:rPr>
              <w:t>甲状腺功能减退症</w:t>
            </w:r>
          </w:p>
        </w:tc>
        <w:tc>
          <w:tcPr>
            <w:tcW w:w="1180" w:type="dxa"/>
            <w:tcBorders>
              <w:top w:val="nil"/>
              <w:left w:val="nil"/>
              <w:bottom w:val="single" w:color="auto" w:sz="4" w:space="0"/>
              <w:right w:val="single" w:color="auto" w:sz="4" w:space="0"/>
            </w:tcBorders>
            <w:vAlign w:val="center"/>
          </w:tcPr>
          <w:p w14:paraId="4E917AB3">
            <w:pPr>
              <w:widowControl/>
              <w:jc w:val="center"/>
              <w:rPr>
                <w:rFonts w:ascii="仿宋" w:hAnsi="仿宋" w:eastAsia="仿宋"/>
                <w:kern w:val="0"/>
                <w:sz w:val="24"/>
              </w:rPr>
            </w:pPr>
            <w:r>
              <w:rPr>
                <w:rFonts w:ascii="仿宋" w:hAnsi="仿宋" w:eastAsia="仿宋"/>
                <w:kern w:val="0"/>
                <w:sz w:val="24"/>
              </w:rPr>
              <w:t>85</w:t>
            </w:r>
          </w:p>
        </w:tc>
        <w:tc>
          <w:tcPr>
            <w:tcW w:w="1394" w:type="dxa"/>
            <w:tcBorders>
              <w:top w:val="nil"/>
              <w:left w:val="nil"/>
              <w:bottom w:val="single" w:color="auto" w:sz="4" w:space="0"/>
              <w:right w:val="single" w:color="auto" w:sz="4" w:space="0"/>
            </w:tcBorders>
            <w:vAlign w:val="center"/>
          </w:tcPr>
          <w:p w14:paraId="16E92F25">
            <w:pPr>
              <w:widowControl/>
              <w:jc w:val="center"/>
              <w:rPr>
                <w:rFonts w:ascii="仿宋" w:hAnsi="仿宋" w:eastAsia="仿宋" w:cs="宋体"/>
                <w:kern w:val="0"/>
                <w:sz w:val="24"/>
              </w:rPr>
            </w:pPr>
            <w:r>
              <w:rPr>
                <w:rFonts w:hint="eastAsia" w:ascii="仿宋" w:hAnsi="仿宋" w:eastAsia="仿宋" w:cs="宋体"/>
                <w:kern w:val="0"/>
                <w:sz w:val="24"/>
              </w:rPr>
              <w:t>2000</w:t>
            </w:r>
          </w:p>
        </w:tc>
        <w:tc>
          <w:tcPr>
            <w:tcW w:w="1174" w:type="dxa"/>
            <w:tcBorders>
              <w:top w:val="nil"/>
              <w:left w:val="nil"/>
              <w:bottom w:val="single" w:color="auto" w:sz="4" w:space="0"/>
              <w:right w:val="single" w:color="auto" w:sz="4" w:space="0"/>
            </w:tcBorders>
            <w:vAlign w:val="center"/>
          </w:tcPr>
          <w:p w14:paraId="44917DEF">
            <w:pPr>
              <w:widowControl/>
              <w:jc w:val="center"/>
              <w:rPr>
                <w:rFonts w:ascii="仿宋" w:hAnsi="仿宋" w:eastAsia="仿宋" w:cs="宋体"/>
                <w:kern w:val="0"/>
                <w:sz w:val="24"/>
              </w:rPr>
            </w:pPr>
            <w:r>
              <w:rPr>
                <w:rFonts w:hint="eastAsia" w:ascii="仿宋" w:hAnsi="仿宋" w:eastAsia="仿宋" w:cs="宋体"/>
                <w:kern w:val="0"/>
                <w:sz w:val="24"/>
              </w:rPr>
              <w:t>70</w:t>
            </w:r>
          </w:p>
        </w:tc>
        <w:tc>
          <w:tcPr>
            <w:tcW w:w="1560" w:type="dxa"/>
            <w:tcBorders>
              <w:top w:val="nil"/>
              <w:left w:val="nil"/>
              <w:bottom w:val="single" w:color="auto" w:sz="4" w:space="0"/>
              <w:right w:val="single" w:color="auto" w:sz="4" w:space="0"/>
            </w:tcBorders>
            <w:vAlign w:val="center"/>
          </w:tcPr>
          <w:p w14:paraId="336E06E2">
            <w:pPr>
              <w:widowControl/>
              <w:jc w:val="center"/>
              <w:rPr>
                <w:rFonts w:ascii="仿宋" w:hAnsi="仿宋" w:eastAsia="仿宋" w:cs="宋体"/>
                <w:kern w:val="0"/>
                <w:sz w:val="24"/>
              </w:rPr>
            </w:pPr>
            <w:r>
              <w:rPr>
                <w:rFonts w:hint="eastAsia" w:ascii="仿宋" w:hAnsi="仿宋" w:eastAsia="仿宋" w:cs="宋体"/>
                <w:kern w:val="0"/>
                <w:sz w:val="24"/>
              </w:rPr>
              <w:t>2000</w:t>
            </w:r>
          </w:p>
        </w:tc>
        <w:tc>
          <w:tcPr>
            <w:tcW w:w="1487" w:type="dxa"/>
            <w:tcBorders>
              <w:top w:val="nil"/>
              <w:left w:val="nil"/>
              <w:bottom w:val="single" w:color="auto" w:sz="4" w:space="0"/>
              <w:right w:val="single" w:color="auto" w:sz="4" w:space="0"/>
            </w:tcBorders>
            <w:vAlign w:val="center"/>
          </w:tcPr>
          <w:p w14:paraId="056307AF">
            <w:pPr>
              <w:widowControl/>
              <w:jc w:val="center"/>
              <w:rPr>
                <w:rFonts w:ascii="仿宋" w:hAnsi="仿宋" w:eastAsia="仿宋" w:cs="宋体"/>
                <w:kern w:val="0"/>
                <w:sz w:val="24"/>
              </w:rPr>
            </w:pPr>
            <w:r>
              <w:rPr>
                <w:rFonts w:hint="eastAsia" w:ascii="仿宋" w:hAnsi="仿宋" w:eastAsia="仿宋" w:cs="宋体"/>
                <w:kern w:val="0"/>
                <w:sz w:val="24"/>
              </w:rPr>
              <w:t>长期</w:t>
            </w:r>
          </w:p>
        </w:tc>
      </w:tr>
      <w:tr w14:paraId="2B079719">
        <w:tblPrEx>
          <w:tblCellMar>
            <w:top w:w="0" w:type="dxa"/>
            <w:left w:w="0" w:type="dxa"/>
            <w:bottom w:w="0" w:type="dxa"/>
            <w:right w:w="0" w:type="dxa"/>
          </w:tblCellMar>
        </w:tblPrEx>
        <w:trPr>
          <w:trHeight w:val="465" w:hRule="atLeast"/>
          <w:jc w:val="right"/>
        </w:trPr>
        <w:tc>
          <w:tcPr>
            <w:tcW w:w="755" w:type="dxa"/>
            <w:tcBorders>
              <w:top w:val="nil"/>
              <w:left w:val="single" w:color="auto" w:sz="4" w:space="0"/>
              <w:bottom w:val="single" w:color="auto" w:sz="4" w:space="0"/>
              <w:right w:val="single" w:color="auto" w:sz="4" w:space="0"/>
            </w:tcBorders>
            <w:shd w:val="clear" w:color="auto" w:fill="auto"/>
            <w:vAlign w:val="center"/>
          </w:tcPr>
          <w:p w14:paraId="7BDB35CC">
            <w:pPr>
              <w:widowControl/>
              <w:jc w:val="center"/>
              <w:rPr>
                <w:rFonts w:ascii="仿宋" w:hAnsi="仿宋" w:eastAsia="仿宋"/>
                <w:kern w:val="0"/>
                <w:sz w:val="24"/>
              </w:rPr>
            </w:pPr>
            <w:r>
              <w:rPr>
                <w:rFonts w:ascii="仿宋" w:hAnsi="仿宋" w:eastAsia="仿宋"/>
                <w:kern w:val="0"/>
                <w:sz w:val="24"/>
              </w:rPr>
              <w:t>7</w:t>
            </w:r>
          </w:p>
        </w:tc>
        <w:tc>
          <w:tcPr>
            <w:tcW w:w="822" w:type="dxa"/>
            <w:vMerge w:val="continue"/>
            <w:tcBorders>
              <w:left w:val="single" w:color="auto" w:sz="4" w:space="0"/>
              <w:right w:val="single" w:color="auto" w:sz="4" w:space="0"/>
            </w:tcBorders>
            <w:shd w:val="clear" w:color="auto" w:fill="auto"/>
            <w:vAlign w:val="center"/>
          </w:tcPr>
          <w:p w14:paraId="3391C7B7">
            <w:pPr>
              <w:widowControl/>
              <w:jc w:val="left"/>
              <w:rPr>
                <w:rFonts w:ascii="仿宋" w:hAnsi="仿宋" w:eastAsia="仿宋"/>
                <w:kern w:val="0"/>
                <w:sz w:val="24"/>
              </w:rPr>
            </w:pPr>
          </w:p>
        </w:tc>
        <w:tc>
          <w:tcPr>
            <w:tcW w:w="1386" w:type="dxa"/>
            <w:tcBorders>
              <w:top w:val="nil"/>
              <w:left w:val="nil"/>
              <w:bottom w:val="single" w:color="auto" w:sz="4" w:space="0"/>
              <w:right w:val="single" w:color="auto" w:sz="4" w:space="0"/>
            </w:tcBorders>
            <w:shd w:val="clear" w:color="000000" w:fill="FFFFFF"/>
            <w:vAlign w:val="center"/>
          </w:tcPr>
          <w:p w14:paraId="59250592">
            <w:pPr>
              <w:widowControl/>
              <w:jc w:val="center"/>
              <w:rPr>
                <w:rFonts w:ascii="仿宋" w:hAnsi="仿宋" w:eastAsia="仿宋"/>
                <w:kern w:val="0"/>
                <w:sz w:val="24"/>
              </w:rPr>
            </w:pPr>
            <w:r>
              <w:rPr>
                <w:rFonts w:ascii="仿宋" w:hAnsi="仿宋" w:eastAsia="仿宋"/>
                <w:kern w:val="0"/>
                <w:sz w:val="24"/>
              </w:rPr>
              <w:t>M01800</w:t>
            </w:r>
          </w:p>
        </w:tc>
        <w:tc>
          <w:tcPr>
            <w:tcW w:w="3598" w:type="dxa"/>
            <w:tcBorders>
              <w:top w:val="nil"/>
              <w:left w:val="nil"/>
              <w:bottom w:val="single" w:color="auto" w:sz="4" w:space="0"/>
              <w:right w:val="single" w:color="auto" w:sz="4" w:space="0"/>
            </w:tcBorders>
            <w:shd w:val="clear" w:color="000000" w:fill="FFFFFF"/>
            <w:vAlign w:val="center"/>
          </w:tcPr>
          <w:p w14:paraId="1129C04F">
            <w:pPr>
              <w:widowControl/>
              <w:jc w:val="center"/>
              <w:rPr>
                <w:rFonts w:ascii="仿宋" w:hAnsi="仿宋" w:eastAsia="仿宋"/>
                <w:kern w:val="0"/>
                <w:sz w:val="24"/>
              </w:rPr>
            </w:pPr>
            <w:r>
              <w:rPr>
                <w:rFonts w:ascii="仿宋" w:hAnsi="仿宋" w:eastAsia="仿宋"/>
                <w:kern w:val="0"/>
                <w:sz w:val="24"/>
              </w:rPr>
              <w:t>苯丙酮尿症</w:t>
            </w:r>
          </w:p>
        </w:tc>
        <w:tc>
          <w:tcPr>
            <w:tcW w:w="1180" w:type="dxa"/>
            <w:tcBorders>
              <w:top w:val="nil"/>
              <w:left w:val="nil"/>
              <w:bottom w:val="single" w:color="auto" w:sz="4" w:space="0"/>
              <w:right w:val="single" w:color="auto" w:sz="4" w:space="0"/>
            </w:tcBorders>
            <w:vAlign w:val="center"/>
          </w:tcPr>
          <w:p w14:paraId="6E2B505A">
            <w:pPr>
              <w:widowControl/>
              <w:jc w:val="center"/>
              <w:rPr>
                <w:rFonts w:ascii="仿宋" w:hAnsi="仿宋" w:eastAsia="仿宋"/>
                <w:kern w:val="0"/>
                <w:sz w:val="24"/>
              </w:rPr>
            </w:pPr>
            <w:r>
              <w:rPr>
                <w:rFonts w:ascii="仿宋" w:hAnsi="仿宋" w:eastAsia="仿宋"/>
                <w:kern w:val="0"/>
                <w:sz w:val="24"/>
              </w:rPr>
              <w:t>85</w:t>
            </w:r>
          </w:p>
        </w:tc>
        <w:tc>
          <w:tcPr>
            <w:tcW w:w="1394" w:type="dxa"/>
            <w:tcBorders>
              <w:top w:val="nil"/>
              <w:left w:val="nil"/>
              <w:bottom w:val="single" w:color="auto" w:sz="4" w:space="0"/>
              <w:right w:val="single" w:color="auto" w:sz="4" w:space="0"/>
            </w:tcBorders>
            <w:vAlign w:val="center"/>
          </w:tcPr>
          <w:p w14:paraId="3BEA6E47">
            <w:pPr>
              <w:widowControl/>
              <w:jc w:val="center"/>
              <w:rPr>
                <w:rFonts w:ascii="仿宋" w:hAnsi="仿宋" w:eastAsia="仿宋" w:cs="宋体"/>
                <w:kern w:val="0"/>
                <w:sz w:val="24"/>
              </w:rPr>
            </w:pPr>
            <w:r>
              <w:rPr>
                <w:rFonts w:hint="eastAsia" w:ascii="仿宋" w:hAnsi="仿宋" w:eastAsia="仿宋" w:cs="宋体"/>
                <w:kern w:val="0"/>
                <w:sz w:val="24"/>
              </w:rPr>
              <w:t>14000</w:t>
            </w:r>
          </w:p>
        </w:tc>
        <w:tc>
          <w:tcPr>
            <w:tcW w:w="1174" w:type="dxa"/>
            <w:tcBorders>
              <w:top w:val="nil"/>
              <w:left w:val="nil"/>
              <w:bottom w:val="single" w:color="auto" w:sz="4" w:space="0"/>
              <w:right w:val="single" w:color="auto" w:sz="4" w:space="0"/>
            </w:tcBorders>
            <w:vAlign w:val="center"/>
          </w:tcPr>
          <w:p w14:paraId="373F25D4">
            <w:pPr>
              <w:widowControl/>
              <w:jc w:val="center"/>
              <w:rPr>
                <w:rFonts w:ascii="仿宋" w:hAnsi="仿宋" w:eastAsia="仿宋" w:cs="宋体"/>
                <w:kern w:val="0"/>
                <w:sz w:val="24"/>
              </w:rPr>
            </w:pPr>
            <w:r>
              <w:rPr>
                <w:rFonts w:hint="eastAsia" w:ascii="仿宋" w:hAnsi="仿宋" w:eastAsia="仿宋" w:cs="宋体"/>
                <w:kern w:val="0"/>
                <w:sz w:val="24"/>
              </w:rPr>
              <w:t>70</w:t>
            </w:r>
          </w:p>
        </w:tc>
        <w:tc>
          <w:tcPr>
            <w:tcW w:w="1560" w:type="dxa"/>
            <w:tcBorders>
              <w:top w:val="nil"/>
              <w:left w:val="nil"/>
              <w:bottom w:val="single" w:color="auto" w:sz="4" w:space="0"/>
              <w:right w:val="single" w:color="auto" w:sz="4" w:space="0"/>
            </w:tcBorders>
            <w:vAlign w:val="center"/>
          </w:tcPr>
          <w:p w14:paraId="57B959D6">
            <w:pPr>
              <w:widowControl/>
              <w:jc w:val="center"/>
              <w:rPr>
                <w:rFonts w:ascii="仿宋" w:hAnsi="仿宋" w:eastAsia="仿宋" w:cs="宋体"/>
                <w:kern w:val="0"/>
                <w:sz w:val="24"/>
              </w:rPr>
            </w:pPr>
            <w:r>
              <w:rPr>
                <w:rFonts w:hint="eastAsia" w:ascii="仿宋" w:hAnsi="仿宋" w:eastAsia="仿宋" w:cs="宋体"/>
                <w:kern w:val="0"/>
                <w:sz w:val="24"/>
              </w:rPr>
              <w:t>14000</w:t>
            </w:r>
          </w:p>
        </w:tc>
        <w:tc>
          <w:tcPr>
            <w:tcW w:w="1487" w:type="dxa"/>
            <w:tcBorders>
              <w:top w:val="nil"/>
              <w:left w:val="nil"/>
              <w:bottom w:val="single" w:color="auto" w:sz="4" w:space="0"/>
              <w:right w:val="single" w:color="auto" w:sz="4" w:space="0"/>
            </w:tcBorders>
            <w:vAlign w:val="center"/>
          </w:tcPr>
          <w:p w14:paraId="789E29AB">
            <w:pPr>
              <w:widowControl/>
              <w:jc w:val="center"/>
              <w:rPr>
                <w:rFonts w:ascii="仿宋" w:hAnsi="仿宋" w:eastAsia="仿宋" w:cs="宋体"/>
                <w:kern w:val="0"/>
                <w:sz w:val="24"/>
              </w:rPr>
            </w:pPr>
            <w:r>
              <w:rPr>
                <w:rFonts w:hint="eastAsia" w:ascii="仿宋" w:hAnsi="仿宋" w:eastAsia="仿宋" w:cs="宋体"/>
                <w:kern w:val="0"/>
                <w:sz w:val="24"/>
              </w:rPr>
              <w:t>长期</w:t>
            </w:r>
          </w:p>
        </w:tc>
      </w:tr>
      <w:tr w14:paraId="52B494F5">
        <w:tblPrEx>
          <w:tblCellMar>
            <w:top w:w="0" w:type="dxa"/>
            <w:left w:w="0" w:type="dxa"/>
            <w:bottom w:w="0" w:type="dxa"/>
            <w:right w:w="0" w:type="dxa"/>
          </w:tblCellMar>
        </w:tblPrEx>
        <w:trPr>
          <w:trHeight w:val="465" w:hRule="atLeast"/>
          <w:jc w:val="right"/>
        </w:trPr>
        <w:tc>
          <w:tcPr>
            <w:tcW w:w="755" w:type="dxa"/>
            <w:tcBorders>
              <w:top w:val="nil"/>
              <w:left w:val="single" w:color="auto" w:sz="4" w:space="0"/>
              <w:bottom w:val="single" w:color="auto" w:sz="4" w:space="0"/>
              <w:right w:val="single" w:color="auto" w:sz="4" w:space="0"/>
            </w:tcBorders>
            <w:shd w:val="clear" w:color="auto" w:fill="auto"/>
            <w:vAlign w:val="center"/>
          </w:tcPr>
          <w:p w14:paraId="728910FF">
            <w:pPr>
              <w:widowControl/>
              <w:jc w:val="center"/>
              <w:rPr>
                <w:rFonts w:ascii="仿宋" w:hAnsi="仿宋" w:eastAsia="仿宋"/>
                <w:kern w:val="0"/>
                <w:sz w:val="24"/>
              </w:rPr>
            </w:pPr>
            <w:r>
              <w:rPr>
                <w:rFonts w:ascii="仿宋" w:hAnsi="仿宋" w:eastAsia="仿宋"/>
                <w:kern w:val="0"/>
                <w:sz w:val="24"/>
              </w:rPr>
              <w:t>8</w:t>
            </w:r>
          </w:p>
        </w:tc>
        <w:tc>
          <w:tcPr>
            <w:tcW w:w="822" w:type="dxa"/>
            <w:vMerge w:val="continue"/>
            <w:tcBorders>
              <w:left w:val="single" w:color="auto" w:sz="4" w:space="0"/>
              <w:right w:val="single" w:color="auto" w:sz="4" w:space="0"/>
            </w:tcBorders>
            <w:shd w:val="clear" w:color="auto" w:fill="auto"/>
            <w:vAlign w:val="center"/>
          </w:tcPr>
          <w:p w14:paraId="207FEBA8">
            <w:pPr>
              <w:widowControl/>
              <w:jc w:val="left"/>
              <w:rPr>
                <w:rFonts w:ascii="仿宋" w:hAnsi="仿宋" w:eastAsia="仿宋"/>
                <w:kern w:val="0"/>
                <w:sz w:val="24"/>
              </w:rPr>
            </w:pPr>
          </w:p>
        </w:tc>
        <w:tc>
          <w:tcPr>
            <w:tcW w:w="1386" w:type="dxa"/>
            <w:tcBorders>
              <w:top w:val="nil"/>
              <w:left w:val="nil"/>
              <w:bottom w:val="single" w:color="auto" w:sz="4" w:space="0"/>
              <w:right w:val="single" w:color="auto" w:sz="4" w:space="0"/>
            </w:tcBorders>
            <w:shd w:val="clear" w:color="000000" w:fill="FFFFFF"/>
            <w:vAlign w:val="center"/>
          </w:tcPr>
          <w:p w14:paraId="6D8EF0BA">
            <w:pPr>
              <w:widowControl/>
              <w:jc w:val="center"/>
              <w:rPr>
                <w:rFonts w:ascii="仿宋" w:hAnsi="仿宋" w:eastAsia="仿宋"/>
                <w:kern w:val="0"/>
                <w:sz w:val="24"/>
              </w:rPr>
            </w:pPr>
            <w:r>
              <w:rPr>
                <w:rFonts w:ascii="仿宋" w:hAnsi="仿宋" w:eastAsia="仿宋"/>
                <w:kern w:val="0"/>
                <w:sz w:val="24"/>
              </w:rPr>
              <w:t>M01915</w:t>
            </w:r>
          </w:p>
        </w:tc>
        <w:tc>
          <w:tcPr>
            <w:tcW w:w="3598" w:type="dxa"/>
            <w:tcBorders>
              <w:top w:val="nil"/>
              <w:left w:val="nil"/>
              <w:bottom w:val="single" w:color="auto" w:sz="4" w:space="0"/>
              <w:right w:val="single" w:color="auto" w:sz="4" w:space="0"/>
            </w:tcBorders>
            <w:shd w:val="clear" w:color="000000" w:fill="FFFFFF"/>
            <w:vAlign w:val="center"/>
          </w:tcPr>
          <w:p w14:paraId="3D4004C2">
            <w:pPr>
              <w:widowControl/>
              <w:jc w:val="center"/>
              <w:rPr>
                <w:rFonts w:ascii="仿宋" w:hAnsi="仿宋" w:eastAsia="仿宋"/>
                <w:kern w:val="0"/>
                <w:sz w:val="24"/>
              </w:rPr>
            </w:pPr>
            <w:r>
              <w:rPr>
                <w:rFonts w:ascii="仿宋" w:hAnsi="仿宋" w:eastAsia="仿宋"/>
                <w:kern w:val="0"/>
                <w:sz w:val="24"/>
              </w:rPr>
              <w:t>克汀病</w:t>
            </w:r>
          </w:p>
        </w:tc>
        <w:tc>
          <w:tcPr>
            <w:tcW w:w="1180" w:type="dxa"/>
            <w:tcBorders>
              <w:top w:val="nil"/>
              <w:left w:val="nil"/>
              <w:bottom w:val="single" w:color="auto" w:sz="4" w:space="0"/>
              <w:right w:val="single" w:color="auto" w:sz="4" w:space="0"/>
            </w:tcBorders>
            <w:vAlign w:val="center"/>
          </w:tcPr>
          <w:p w14:paraId="5F9549FE">
            <w:pPr>
              <w:widowControl/>
              <w:jc w:val="center"/>
              <w:rPr>
                <w:rFonts w:ascii="仿宋" w:hAnsi="仿宋" w:eastAsia="仿宋"/>
                <w:kern w:val="0"/>
                <w:sz w:val="24"/>
              </w:rPr>
            </w:pPr>
            <w:r>
              <w:rPr>
                <w:rFonts w:ascii="仿宋" w:hAnsi="仿宋" w:eastAsia="仿宋"/>
                <w:kern w:val="0"/>
                <w:sz w:val="24"/>
              </w:rPr>
              <w:t>85</w:t>
            </w:r>
          </w:p>
        </w:tc>
        <w:tc>
          <w:tcPr>
            <w:tcW w:w="1394" w:type="dxa"/>
            <w:tcBorders>
              <w:top w:val="nil"/>
              <w:left w:val="nil"/>
              <w:bottom w:val="single" w:color="auto" w:sz="4" w:space="0"/>
              <w:right w:val="single" w:color="auto" w:sz="4" w:space="0"/>
            </w:tcBorders>
            <w:vAlign w:val="center"/>
          </w:tcPr>
          <w:p w14:paraId="0E02EC3F">
            <w:pPr>
              <w:widowControl/>
              <w:jc w:val="center"/>
              <w:rPr>
                <w:rFonts w:ascii="仿宋" w:hAnsi="仿宋" w:eastAsia="仿宋" w:cs="宋体"/>
                <w:kern w:val="0"/>
                <w:sz w:val="24"/>
              </w:rPr>
            </w:pPr>
            <w:r>
              <w:rPr>
                <w:rFonts w:hint="eastAsia" w:ascii="仿宋" w:hAnsi="仿宋" w:eastAsia="仿宋" w:cs="宋体"/>
                <w:kern w:val="0"/>
                <w:sz w:val="24"/>
              </w:rPr>
              <w:t>2000</w:t>
            </w:r>
          </w:p>
        </w:tc>
        <w:tc>
          <w:tcPr>
            <w:tcW w:w="1174" w:type="dxa"/>
            <w:tcBorders>
              <w:top w:val="nil"/>
              <w:left w:val="nil"/>
              <w:bottom w:val="single" w:color="auto" w:sz="4" w:space="0"/>
              <w:right w:val="single" w:color="auto" w:sz="4" w:space="0"/>
            </w:tcBorders>
            <w:vAlign w:val="center"/>
          </w:tcPr>
          <w:p w14:paraId="465FB3A5">
            <w:pPr>
              <w:widowControl/>
              <w:jc w:val="center"/>
              <w:rPr>
                <w:rFonts w:ascii="仿宋" w:hAnsi="仿宋" w:eastAsia="仿宋" w:cs="宋体"/>
                <w:kern w:val="0"/>
                <w:sz w:val="24"/>
              </w:rPr>
            </w:pPr>
            <w:r>
              <w:rPr>
                <w:rFonts w:hint="eastAsia" w:ascii="仿宋" w:hAnsi="仿宋" w:eastAsia="仿宋" w:cs="宋体"/>
                <w:kern w:val="0"/>
                <w:sz w:val="24"/>
              </w:rPr>
              <w:t>70</w:t>
            </w:r>
          </w:p>
        </w:tc>
        <w:tc>
          <w:tcPr>
            <w:tcW w:w="1560" w:type="dxa"/>
            <w:tcBorders>
              <w:top w:val="nil"/>
              <w:left w:val="nil"/>
              <w:bottom w:val="single" w:color="auto" w:sz="4" w:space="0"/>
              <w:right w:val="single" w:color="auto" w:sz="4" w:space="0"/>
            </w:tcBorders>
            <w:vAlign w:val="center"/>
          </w:tcPr>
          <w:p w14:paraId="579CA258">
            <w:pPr>
              <w:widowControl/>
              <w:jc w:val="center"/>
              <w:rPr>
                <w:rFonts w:ascii="仿宋" w:hAnsi="仿宋" w:eastAsia="仿宋" w:cs="宋体"/>
                <w:kern w:val="0"/>
                <w:sz w:val="24"/>
              </w:rPr>
            </w:pPr>
            <w:r>
              <w:rPr>
                <w:rFonts w:hint="eastAsia" w:ascii="仿宋" w:hAnsi="仿宋" w:eastAsia="仿宋" w:cs="宋体"/>
                <w:kern w:val="0"/>
                <w:sz w:val="24"/>
              </w:rPr>
              <w:t>2000</w:t>
            </w:r>
          </w:p>
        </w:tc>
        <w:tc>
          <w:tcPr>
            <w:tcW w:w="1487" w:type="dxa"/>
            <w:tcBorders>
              <w:top w:val="nil"/>
              <w:left w:val="nil"/>
              <w:bottom w:val="single" w:color="auto" w:sz="4" w:space="0"/>
              <w:right w:val="single" w:color="auto" w:sz="4" w:space="0"/>
            </w:tcBorders>
            <w:vAlign w:val="center"/>
          </w:tcPr>
          <w:p w14:paraId="0F4D0500">
            <w:pPr>
              <w:widowControl/>
              <w:jc w:val="center"/>
              <w:rPr>
                <w:rFonts w:ascii="仿宋" w:hAnsi="仿宋" w:eastAsia="仿宋" w:cs="宋体"/>
                <w:kern w:val="0"/>
                <w:sz w:val="24"/>
              </w:rPr>
            </w:pPr>
            <w:r>
              <w:rPr>
                <w:rFonts w:hint="eastAsia" w:ascii="仿宋" w:hAnsi="仿宋" w:eastAsia="仿宋" w:cs="宋体"/>
                <w:kern w:val="0"/>
                <w:sz w:val="24"/>
              </w:rPr>
              <w:t>长期</w:t>
            </w:r>
          </w:p>
        </w:tc>
      </w:tr>
      <w:tr w14:paraId="6803BFA0">
        <w:tblPrEx>
          <w:tblCellMar>
            <w:top w:w="0" w:type="dxa"/>
            <w:left w:w="0" w:type="dxa"/>
            <w:bottom w:w="0" w:type="dxa"/>
            <w:right w:w="0" w:type="dxa"/>
          </w:tblCellMar>
        </w:tblPrEx>
        <w:trPr>
          <w:trHeight w:val="465" w:hRule="atLeast"/>
          <w:jc w:val="right"/>
        </w:trPr>
        <w:tc>
          <w:tcPr>
            <w:tcW w:w="755" w:type="dxa"/>
            <w:tcBorders>
              <w:top w:val="nil"/>
              <w:left w:val="single" w:color="auto" w:sz="4" w:space="0"/>
              <w:bottom w:val="single" w:color="auto" w:sz="4" w:space="0"/>
              <w:right w:val="single" w:color="auto" w:sz="4" w:space="0"/>
            </w:tcBorders>
            <w:shd w:val="clear" w:color="auto" w:fill="auto"/>
            <w:vAlign w:val="center"/>
          </w:tcPr>
          <w:p w14:paraId="1491B53C">
            <w:pPr>
              <w:widowControl/>
              <w:jc w:val="center"/>
              <w:rPr>
                <w:rFonts w:ascii="仿宋" w:hAnsi="仿宋" w:eastAsia="仿宋"/>
                <w:kern w:val="0"/>
                <w:sz w:val="24"/>
              </w:rPr>
            </w:pPr>
            <w:r>
              <w:rPr>
                <w:rFonts w:ascii="仿宋" w:hAnsi="仿宋" w:eastAsia="仿宋"/>
                <w:kern w:val="0"/>
                <w:sz w:val="24"/>
              </w:rPr>
              <w:t>9</w:t>
            </w:r>
          </w:p>
        </w:tc>
        <w:tc>
          <w:tcPr>
            <w:tcW w:w="822" w:type="dxa"/>
            <w:vMerge w:val="continue"/>
            <w:tcBorders>
              <w:left w:val="single" w:color="auto" w:sz="4" w:space="0"/>
              <w:right w:val="single" w:color="auto" w:sz="4" w:space="0"/>
            </w:tcBorders>
            <w:shd w:val="clear" w:color="auto" w:fill="auto"/>
            <w:vAlign w:val="center"/>
          </w:tcPr>
          <w:p w14:paraId="1118DD0C">
            <w:pPr>
              <w:widowControl/>
              <w:jc w:val="left"/>
              <w:rPr>
                <w:rFonts w:ascii="仿宋" w:hAnsi="仿宋" w:eastAsia="仿宋"/>
                <w:kern w:val="0"/>
                <w:sz w:val="24"/>
              </w:rPr>
            </w:pPr>
          </w:p>
        </w:tc>
        <w:tc>
          <w:tcPr>
            <w:tcW w:w="1386" w:type="dxa"/>
            <w:tcBorders>
              <w:top w:val="nil"/>
              <w:left w:val="nil"/>
              <w:bottom w:val="single" w:color="auto" w:sz="4" w:space="0"/>
              <w:right w:val="single" w:color="auto" w:sz="4" w:space="0"/>
            </w:tcBorders>
            <w:shd w:val="clear" w:color="000000" w:fill="FFFFFF"/>
            <w:vAlign w:val="center"/>
          </w:tcPr>
          <w:p w14:paraId="2E7C77BA">
            <w:pPr>
              <w:widowControl/>
              <w:jc w:val="center"/>
              <w:rPr>
                <w:rFonts w:ascii="仿宋" w:hAnsi="仿宋" w:eastAsia="仿宋"/>
                <w:kern w:val="0"/>
                <w:sz w:val="24"/>
              </w:rPr>
            </w:pPr>
            <w:r>
              <w:rPr>
                <w:rFonts w:ascii="仿宋" w:hAnsi="仿宋" w:eastAsia="仿宋"/>
                <w:kern w:val="0"/>
                <w:sz w:val="24"/>
              </w:rPr>
              <w:t>M00205</w:t>
            </w:r>
          </w:p>
        </w:tc>
        <w:tc>
          <w:tcPr>
            <w:tcW w:w="3598" w:type="dxa"/>
            <w:tcBorders>
              <w:top w:val="nil"/>
              <w:left w:val="nil"/>
              <w:bottom w:val="single" w:color="auto" w:sz="4" w:space="0"/>
              <w:right w:val="single" w:color="auto" w:sz="4" w:space="0"/>
            </w:tcBorders>
            <w:shd w:val="clear" w:color="000000" w:fill="FFFFFF"/>
            <w:vAlign w:val="center"/>
          </w:tcPr>
          <w:p w14:paraId="47DA1330">
            <w:pPr>
              <w:widowControl/>
              <w:jc w:val="center"/>
              <w:rPr>
                <w:rFonts w:ascii="仿宋" w:hAnsi="仿宋" w:eastAsia="仿宋"/>
                <w:kern w:val="0"/>
                <w:sz w:val="24"/>
              </w:rPr>
            </w:pPr>
            <w:r>
              <w:rPr>
                <w:rFonts w:ascii="仿宋" w:hAnsi="仿宋" w:eastAsia="仿宋"/>
                <w:kern w:val="0"/>
                <w:sz w:val="24"/>
              </w:rPr>
              <w:t>慢性活动性肝炎</w:t>
            </w:r>
          </w:p>
        </w:tc>
        <w:tc>
          <w:tcPr>
            <w:tcW w:w="1180" w:type="dxa"/>
            <w:tcBorders>
              <w:top w:val="nil"/>
              <w:left w:val="nil"/>
              <w:bottom w:val="single" w:color="auto" w:sz="4" w:space="0"/>
              <w:right w:val="single" w:color="auto" w:sz="4" w:space="0"/>
            </w:tcBorders>
            <w:vAlign w:val="center"/>
          </w:tcPr>
          <w:p w14:paraId="36CD58D5">
            <w:pPr>
              <w:widowControl/>
              <w:jc w:val="center"/>
              <w:rPr>
                <w:rFonts w:ascii="仿宋" w:hAnsi="仿宋" w:eastAsia="仿宋"/>
                <w:kern w:val="0"/>
                <w:sz w:val="24"/>
              </w:rPr>
            </w:pPr>
            <w:r>
              <w:rPr>
                <w:rFonts w:ascii="仿宋" w:hAnsi="仿宋" w:eastAsia="仿宋"/>
                <w:kern w:val="0"/>
                <w:sz w:val="24"/>
              </w:rPr>
              <w:t>85</w:t>
            </w:r>
          </w:p>
        </w:tc>
        <w:tc>
          <w:tcPr>
            <w:tcW w:w="1394" w:type="dxa"/>
            <w:tcBorders>
              <w:top w:val="nil"/>
              <w:left w:val="nil"/>
              <w:bottom w:val="single" w:color="auto" w:sz="4" w:space="0"/>
              <w:right w:val="single" w:color="auto" w:sz="4" w:space="0"/>
            </w:tcBorders>
            <w:vAlign w:val="center"/>
          </w:tcPr>
          <w:p w14:paraId="027F9E17">
            <w:pPr>
              <w:widowControl/>
              <w:jc w:val="center"/>
              <w:rPr>
                <w:rFonts w:ascii="仿宋" w:hAnsi="仿宋" w:eastAsia="仿宋" w:cs="宋体"/>
                <w:kern w:val="0"/>
                <w:sz w:val="24"/>
              </w:rPr>
            </w:pPr>
            <w:r>
              <w:rPr>
                <w:rFonts w:hint="eastAsia" w:ascii="仿宋" w:hAnsi="仿宋" w:eastAsia="仿宋" w:cs="宋体"/>
                <w:kern w:val="0"/>
                <w:sz w:val="24"/>
              </w:rPr>
              <w:t>6000</w:t>
            </w:r>
          </w:p>
        </w:tc>
        <w:tc>
          <w:tcPr>
            <w:tcW w:w="1174" w:type="dxa"/>
            <w:tcBorders>
              <w:top w:val="nil"/>
              <w:left w:val="nil"/>
              <w:bottom w:val="single" w:color="auto" w:sz="4" w:space="0"/>
              <w:right w:val="single" w:color="auto" w:sz="4" w:space="0"/>
            </w:tcBorders>
            <w:vAlign w:val="center"/>
          </w:tcPr>
          <w:p w14:paraId="1C6FC286">
            <w:pPr>
              <w:widowControl/>
              <w:jc w:val="center"/>
              <w:rPr>
                <w:rFonts w:ascii="仿宋" w:hAnsi="仿宋" w:eastAsia="仿宋" w:cs="宋体"/>
                <w:kern w:val="0"/>
                <w:sz w:val="24"/>
              </w:rPr>
            </w:pPr>
            <w:r>
              <w:rPr>
                <w:rFonts w:hint="eastAsia" w:ascii="仿宋" w:hAnsi="仿宋" w:eastAsia="仿宋" w:cs="宋体"/>
                <w:kern w:val="0"/>
                <w:sz w:val="24"/>
              </w:rPr>
              <w:t>70</w:t>
            </w:r>
          </w:p>
        </w:tc>
        <w:tc>
          <w:tcPr>
            <w:tcW w:w="1560" w:type="dxa"/>
            <w:tcBorders>
              <w:top w:val="nil"/>
              <w:left w:val="nil"/>
              <w:bottom w:val="single" w:color="auto" w:sz="4" w:space="0"/>
              <w:right w:val="single" w:color="auto" w:sz="4" w:space="0"/>
            </w:tcBorders>
            <w:vAlign w:val="center"/>
          </w:tcPr>
          <w:p w14:paraId="15D2CEE2">
            <w:pPr>
              <w:widowControl/>
              <w:jc w:val="center"/>
              <w:rPr>
                <w:rFonts w:ascii="仿宋" w:hAnsi="仿宋" w:eastAsia="仿宋" w:cs="宋体"/>
                <w:kern w:val="0"/>
                <w:sz w:val="24"/>
              </w:rPr>
            </w:pPr>
            <w:r>
              <w:rPr>
                <w:rFonts w:hint="eastAsia" w:ascii="仿宋" w:hAnsi="仿宋" w:eastAsia="仿宋" w:cs="宋体"/>
                <w:kern w:val="0"/>
                <w:sz w:val="24"/>
              </w:rPr>
              <w:t>4000</w:t>
            </w:r>
          </w:p>
        </w:tc>
        <w:tc>
          <w:tcPr>
            <w:tcW w:w="1487" w:type="dxa"/>
            <w:tcBorders>
              <w:top w:val="nil"/>
              <w:left w:val="nil"/>
              <w:bottom w:val="single" w:color="auto" w:sz="4" w:space="0"/>
              <w:right w:val="single" w:color="auto" w:sz="4" w:space="0"/>
            </w:tcBorders>
            <w:vAlign w:val="center"/>
          </w:tcPr>
          <w:p w14:paraId="6641FF31">
            <w:pPr>
              <w:widowControl/>
              <w:jc w:val="center"/>
              <w:rPr>
                <w:rFonts w:ascii="仿宋" w:hAnsi="仿宋" w:eastAsia="仿宋" w:cs="宋体"/>
                <w:kern w:val="0"/>
                <w:sz w:val="24"/>
              </w:rPr>
            </w:pPr>
            <w:r>
              <w:rPr>
                <w:rFonts w:hint="eastAsia" w:ascii="仿宋" w:hAnsi="仿宋" w:eastAsia="仿宋" w:cs="宋体"/>
                <w:kern w:val="0"/>
                <w:sz w:val="24"/>
              </w:rPr>
              <w:t>2年</w:t>
            </w:r>
          </w:p>
        </w:tc>
      </w:tr>
      <w:tr w14:paraId="4193198C">
        <w:tblPrEx>
          <w:tblCellMar>
            <w:top w:w="0" w:type="dxa"/>
            <w:left w:w="0" w:type="dxa"/>
            <w:bottom w:w="0" w:type="dxa"/>
            <w:right w:w="0" w:type="dxa"/>
          </w:tblCellMar>
        </w:tblPrEx>
        <w:trPr>
          <w:trHeight w:val="465" w:hRule="atLeast"/>
          <w:jc w:val="right"/>
        </w:trPr>
        <w:tc>
          <w:tcPr>
            <w:tcW w:w="755" w:type="dxa"/>
            <w:tcBorders>
              <w:top w:val="nil"/>
              <w:left w:val="single" w:color="auto" w:sz="4" w:space="0"/>
              <w:bottom w:val="single" w:color="auto" w:sz="4" w:space="0"/>
              <w:right w:val="single" w:color="auto" w:sz="4" w:space="0"/>
            </w:tcBorders>
            <w:shd w:val="clear" w:color="auto" w:fill="auto"/>
            <w:vAlign w:val="center"/>
          </w:tcPr>
          <w:p w14:paraId="6B223324">
            <w:pPr>
              <w:widowControl/>
              <w:jc w:val="center"/>
              <w:rPr>
                <w:rFonts w:ascii="仿宋" w:hAnsi="仿宋" w:eastAsia="仿宋"/>
                <w:kern w:val="0"/>
                <w:sz w:val="24"/>
              </w:rPr>
            </w:pPr>
            <w:r>
              <w:rPr>
                <w:rFonts w:ascii="仿宋" w:hAnsi="仿宋" w:eastAsia="仿宋"/>
                <w:kern w:val="0"/>
                <w:sz w:val="24"/>
              </w:rPr>
              <w:t>10</w:t>
            </w:r>
          </w:p>
        </w:tc>
        <w:tc>
          <w:tcPr>
            <w:tcW w:w="822" w:type="dxa"/>
            <w:vMerge w:val="continue"/>
            <w:tcBorders>
              <w:left w:val="single" w:color="auto" w:sz="4" w:space="0"/>
              <w:right w:val="single" w:color="auto" w:sz="4" w:space="0"/>
            </w:tcBorders>
            <w:shd w:val="clear" w:color="auto" w:fill="auto"/>
            <w:vAlign w:val="center"/>
          </w:tcPr>
          <w:p w14:paraId="31E7E89E">
            <w:pPr>
              <w:widowControl/>
              <w:jc w:val="left"/>
              <w:rPr>
                <w:rFonts w:ascii="仿宋" w:hAnsi="仿宋" w:eastAsia="仿宋"/>
                <w:kern w:val="0"/>
                <w:sz w:val="24"/>
              </w:rPr>
            </w:pPr>
          </w:p>
        </w:tc>
        <w:tc>
          <w:tcPr>
            <w:tcW w:w="1386" w:type="dxa"/>
            <w:tcBorders>
              <w:top w:val="nil"/>
              <w:left w:val="nil"/>
              <w:bottom w:val="single" w:color="auto" w:sz="4" w:space="0"/>
              <w:right w:val="single" w:color="auto" w:sz="4" w:space="0"/>
            </w:tcBorders>
            <w:shd w:val="clear" w:color="000000" w:fill="FFFFFF"/>
            <w:vAlign w:val="center"/>
          </w:tcPr>
          <w:p w14:paraId="6182AEB9">
            <w:pPr>
              <w:widowControl/>
              <w:jc w:val="center"/>
              <w:rPr>
                <w:rFonts w:ascii="仿宋" w:hAnsi="仿宋" w:eastAsia="仿宋"/>
                <w:kern w:val="0"/>
                <w:sz w:val="24"/>
              </w:rPr>
            </w:pPr>
            <w:r>
              <w:rPr>
                <w:rFonts w:ascii="仿宋" w:hAnsi="仿宋" w:eastAsia="仿宋"/>
                <w:kern w:val="0"/>
                <w:sz w:val="24"/>
              </w:rPr>
              <w:t>M06201</w:t>
            </w:r>
          </w:p>
        </w:tc>
        <w:tc>
          <w:tcPr>
            <w:tcW w:w="3598" w:type="dxa"/>
            <w:tcBorders>
              <w:top w:val="nil"/>
              <w:left w:val="nil"/>
              <w:bottom w:val="single" w:color="auto" w:sz="4" w:space="0"/>
              <w:right w:val="single" w:color="auto" w:sz="4" w:space="0"/>
            </w:tcBorders>
            <w:shd w:val="clear" w:color="000000" w:fill="FFFFFF"/>
            <w:vAlign w:val="center"/>
          </w:tcPr>
          <w:p w14:paraId="0ABCC8A0">
            <w:pPr>
              <w:widowControl/>
              <w:jc w:val="center"/>
              <w:rPr>
                <w:rFonts w:ascii="仿宋" w:hAnsi="仿宋" w:eastAsia="仿宋"/>
                <w:kern w:val="0"/>
                <w:sz w:val="24"/>
              </w:rPr>
            </w:pPr>
            <w:r>
              <w:rPr>
                <w:rFonts w:ascii="仿宋" w:hAnsi="仿宋" w:eastAsia="仿宋"/>
                <w:kern w:val="0"/>
                <w:sz w:val="24"/>
              </w:rPr>
              <w:t>肝硬化失代偿期</w:t>
            </w:r>
          </w:p>
        </w:tc>
        <w:tc>
          <w:tcPr>
            <w:tcW w:w="1180" w:type="dxa"/>
            <w:tcBorders>
              <w:top w:val="nil"/>
              <w:left w:val="nil"/>
              <w:bottom w:val="single" w:color="auto" w:sz="4" w:space="0"/>
              <w:right w:val="single" w:color="auto" w:sz="4" w:space="0"/>
            </w:tcBorders>
            <w:vAlign w:val="center"/>
          </w:tcPr>
          <w:p w14:paraId="199588A1">
            <w:pPr>
              <w:widowControl/>
              <w:jc w:val="center"/>
              <w:rPr>
                <w:rFonts w:ascii="仿宋" w:hAnsi="仿宋" w:eastAsia="仿宋"/>
                <w:kern w:val="0"/>
                <w:sz w:val="24"/>
              </w:rPr>
            </w:pPr>
            <w:r>
              <w:rPr>
                <w:rFonts w:ascii="仿宋" w:hAnsi="仿宋" w:eastAsia="仿宋"/>
                <w:kern w:val="0"/>
                <w:sz w:val="24"/>
              </w:rPr>
              <w:t>85</w:t>
            </w:r>
          </w:p>
        </w:tc>
        <w:tc>
          <w:tcPr>
            <w:tcW w:w="1394" w:type="dxa"/>
            <w:tcBorders>
              <w:top w:val="nil"/>
              <w:left w:val="nil"/>
              <w:bottom w:val="single" w:color="auto" w:sz="4" w:space="0"/>
              <w:right w:val="single" w:color="auto" w:sz="4" w:space="0"/>
            </w:tcBorders>
            <w:vAlign w:val="center"/>
          </w:tcPr>
          <w:p w14:paraId="7CF4702E">
            <w:pPr>
              <w:widowControl/>
              <w:jc w:val="center"/>
              <w:rPr>
                <w:rFonts w:ascii="仿宋" w:hAnsi="仿宋" w:eastAsia="仿宋" w:cs="宋体"/>
                <w:kern w:val="0"/>
                <w:sz w:val="24"/>
              </w:rPr>
            </w:pPr>
            <w:r>
              <w:rPr>
                <w:rFonts w:hint="eastAsia" w:ascii="仿宋" w:hAnsi="仿宋" w:eastAsia="仿宋" w:cs="宋体"/>
                <w:kern w:val="0"/>
                <w:sz w:val="24"/>
              </w:rPr>
              <w:t>10000</w:t>
            </w:r>
          </w:p>
        </w:tc>
        <w:tc>
          <w:tcPr>
            <w:tcW w:w="1174" w:type="dxa"/>
            <w:tcBorders>
              <w:top w:val="nil"/>
              <w:left w:val="nil"/>
              <w:bottom w:val="single" w:color="auto" w:sz="4" w:space="0"/>
              <w:right w:val="single" w:color="auto" w:sz="4" w:space="0"/>
            </w:tcBorders>
            <w:vAlign w:val="center"/>
          </w:tcPr>
          <w:p w14:paraId="6B97606A">
            <w:pPr>
              <w:widowControl/>
              <w:jc w:val="center"/>
              <w:rPr>
                <w:rFonts w:ascii="仿宋" w:hAnsi="仿宋" w:eastAsia="仿宋" w:cs="宋体"/>
                <w:kern w:val="0"/>
                <w:sz w:val="24"/>
              </w:rPr>
            </w:pPr>
            <w:r>
              <w:rPr>
                <w:rFonts w:hint="eastAsia" w:ascii="仿宋" w:hAnsi="仿宋" w:eastAsia="仿宋" w:cs="宋体"/>
                <w:kern w:val="0"/>
                <w:sz w:val="24"/>
              </w:rPr>
              <w:t>70</w:t>
            </w:r>
          </w:p>
        </w:tc>
        <w:tc>
          <w:tcPr>
            <w:tcW w:w="1560" w:type="dxa"/>
            <w:tcBorders>
              <w:top w:val="nil"/>
              <w:left w:val="nil"/>
              <w:bottom w:val="single" w:color="auto" w:sz="4" w:space="0"/>
              <w:right w:val="single" w:color="auto" w:sz="4" w:space="0"/>
            </w:tcBorders>
            <w:vAlign w:val="center"/>
          </w:tcPr>
          <w:p w14:paraId="0A064319">
            <w:pPr>
              <w:widowControl/>
              <w:jc w:val="center"/>
              <w:rPr>
                <w:rFonts w:ascii="仿宋" w:hAnsi="仿宋" w:eastAsia="仿宋" w:cs="宋体"/>
                <w:kern w:val="0"/>
                <w:sz w:val="24"/>
              </w:rPr>
            </w:pPr>
            <w:r>
              <w:rPr>
                <w:rFonts w:hint="eastAsia" w:ascii="仿宋" w:hAnsi="仿宋" w:eastAsia="仿宋" w:cs="宋体"/>
                <w:kern w:val="0"/>
                <w:sz w:val="24"/>
              </w:rPr>
              <w:t>10000</w:t>
            </w:r>
          </w:p>
        </w:tc>
        <w:tc>
          <w:tcPr>
            <w:tcW w:w="1487" w:type="dxa"/>
            <w:tcBorders>
              <w:top w:val="nil"/>
              <w:left w:val="nil"/>
              <w:bottom w:val="single" w:color="auto" w:sz="4" w:space="0"/>
              <w:right w:val="single" w:color="auto" w:sz="4" w:space="0"/>
            </w:tcBorders>
            <w:vAlign w:val="center"/>
          </w:tcPr>
          <w:p w14:paraId="69D43AB5">
            <w:pPr>
              <w:widowControl/>
              <w:jc w:val="center"/>
              <w:rPr>
                <w:rFonts w:ascii="仿宋" w:hAnsi="仿宋" w:eastAsia="仿宋" w:cs="宋体"/>
                <w:kern w:val="0"/>
                <w:sz w:val="24"/>
              </w:rPr>
            </w:pPr>
            <w:r>
              <w:rPr>
                <w:rFonts w:hint="eastAsia" w:ascii="仿宋" w:hAnsi="仿宋" w:eastAsia="仿宋" w:cs="宋体"/>
                <w:kern w:val="0"/>
                <w:sz w:val="24"/>
              </w:rPr>
              <w:t>5年</w:t>
            </w:r>
          </w:p>
        </w:tc>
      </w:tr>
      <w:tr w14:paraId="5E9DE110">
        <w:tblPrEx>
          <w:tblCellMar>
            <w:top w:w="0" w:type="dxa"/>
            <w:left w:w="0" w:type="dxa"/>
            <w:bottom w:w="0" w:type="dxa"/>
            <w:right w:w="0" w:type="dxa"/>
          </w:tblCellMar>
        </w:tblPrEx>
        <w:trPr>
          <w:trHeight w:val="465" w:hRule="atLeast"/>
          <w:jc w:val="right"/>
        </w:trPr>
        <w:tc>
          <w:tcPr>
            <w:tcW w:w="755" w:type="dxa"/>
            <w:tcBorders>
              <w:top w:val="nil"/>
              <w:left w:val="single" w:color="auto" w:sz="4" w:space="0"/>
              <w:bottom w:val="single" w:color="auto" w:sz="4" w:space="0"/>
              <w:right w:val="single" w:color="auto" w:sz="4" w:space="0"/>
            </w:tcBorders>
            <w:shd w:val="clear" w:color="auto" w:fill="auto"/>
            <w:vAlign w:val="center"/>
          </w:tcPr>
          <w:p w14:paraId="2691A138">
            <w:pPr>
              <w:widowControl/>
              <w:jc w:val="center"/>
              <w:rPr>
                <w:rFonts w:ascii="仿宋" w:hAnsi="仿宋" w:eastAsia="仿宋"/>
                <w:kern w:val="0"/>
                <w:sz w:val="24"/>
              </w:rPr>
            </w:pPr>
            <w:r>
              <w:rPr>
                <w:rFonts w:ascii="仿宋" w:hAnsi="仿宋" w:eastAsia="仿宋"/>
                <w:kern w:val="0"/>
                <w:sz w:val="24"/>
              </w:rPr>
              <w:t>11</w:t>
            </w:r>
          </w:p>
        </w:tc>
        <w:tc>
          <w:tcPr>
            <w:tcW w:w="822" w:type="dxa"/>
            <w:vMerge w:val="continue"/>
            <w:tcBorders>
              <w:left w:val="single" w:color="auto" w:sz="4" w:space="0"/>
              <w:right w:val="single" w:color="auto" w:sz="4" w:space="0"/>
            </w:tcBorders>
            <w:shd w:val="clear" w:color="auto" w:fill="auto"/>
            <w:vAlign w:val="center"/>
          </w:tcPr>
          <w:p w14:paraId="67B44232">
            <w:pPr>
              <w:widowControl/>
              <w:jc w:val="left"/>
              <w:rPr>
                <w:rFonts w:ascii="仿宋" w:hAnsi="仿宋" w:eastAsia="仿宋"/>
                <w:kern w:val="0"/>
                <w:sz w:val="24"/>
              </w:rPr>
            </w:pPr>
          </w:p>
        </w:tc>
        <w:tc>
          <w:tcPr>
            <w:tcW w:w="1386" w:type="dxa"/>
            <w:tcBorders>
              <w:top w:val="nil"/>
              <w:left w:val="nil"/>
              <w:bottom w:val="single" w:color="auto" w:sz="4" w:space="0"/>
              <w:right w:val="single" w:color="auto" w:sz="4" w:space="0"/>
            </w:tcBorders>
            <w:shd w:val="clear" w:color="000000" w:fill="FFFFFF"/>
            <w:vAlign w:val="center"/>
          </w:tcPr>
          <w:p w14:paraId="277C6439">
            <w:pPr>
              <w:widowControl/>
              <w:jc w:val="center"/>
              <w:rPr>
                <w:rFonts w:ascii="仿宋" w:hAnsi="仿宋" w:eastAsia="仿宋"/>
                <w:kern w:val="0"/>
                <w:sz w:val="24"/>
              </w:rPr>
            </w:pPr>
            <w:r>
              <w:rPr>
                <w:rFonts w:ascii="仿宋" w:hAnsi="仿宋" w:eastAsia="仿宋"/>
                <w:kern w:val="0"/>
                <w:sz w:val="24"/>
              </w:rPr>
              <w:t>M04803</w:t>
            </w:r>
          </w:p>
        </w:tc>
        <w:tc>
          <w:tcPr>
            <w:tcW w:w="3598" w:type="dxa"/>
            <w:tcBorders>
              <w:top w:val="nil"/>
              <w:left w:val="nil"/>
              <w:bottom w:val="single" w:color="auto" w:sz="4" w:space="0"/>
              <w:right w:val="single" w:color="auto" w:sz="4" w:space="0"/>
            </w:tcBorders>
            <w:shd w:val="clear" w:color="000000" w:fill="FFFFFF"/>
            <w:vAlign w:val="center"/>
          </w:tcPr>
          <w:p w14:paraId="0D44A59F">
            <w:pPr>
              <w:widowControl/>
              <w:jc w:val="center"/>
              <w:rPr>
                <w:rFonts w:ascii="仿宋" w:hAnsi="仿宋" w:eastAsia="仿宋"/>
                <w:kern w:val="0"/>
                <w:sz w:val="24"/>
              </w:rPr>
            </w:pPr>
            <w:r>
              <w:rPr>
                <w:rFonts w:ascii="仿宋" w:hAnsi="仿宋" w:eastAsia="仿宋"/>
                <w:kern w:val="0"/>
                <w:sz w:val="24"/>
              </w:rPr>
              <w:t>脑血管病后遗症</w:t>
            </w:r>
          </w:p>
        </w:tc>
        <w:tc>
          <w:tcPr>
            <w:tcW w:w="1180" w:type="dxa"/>
            <w:tcBorders>
              <w:top w:val="nil"/>
              <w:left w:val="nil"/>
              <w:bottom w:val="single" w:color="auto" w:sz="4" w:space="0"/>
              <w:right w:val="single" w:color="auto" w:sz="4" w:space="0"/>
            </w:tcBorders>
            <w:vAlign w:val="center"/>
          </w:tcPr>
          <w:p w14:paraId="5837541E">
            <w:pPr>
              <w:widowControl/>
              <w:jc w:val="center"/>
              <w:rPr>
                <w:rFonts w:ascii="仿宋" w:hAnsi="仿宋" w:eastAsia="仿宋"/>
                <w:kern w:val="0"/>
                <w:sz w:val="24"/>
              </w:rPr>
            </w:pPr>
            <w:r>
              <w:rPr>
                <w:rFonts w:ascii="仿宋" w:hAnsi="仿宋" w:eastAsia="仿宋"/>
                <w:kern w:val="0"/>
                <w:sz w:val="24"/>
              </w:rPr>
              <w:t>85</w:t>
            </w:r>
          </w:p>
        </w:tc>
        <w:tc>
          <w:tcPr>
            <w:tcW w:w="1394" w:type="dxa"/>
            <w:tcBorders>
              <w:top w:val="nil"/>
              <w:left w:val="nil"/>
              <w:bottom w:val="single" w:color="auto" w:sz="4" w:space="0"/>
              <w:right w:val="single" w:color="auto" w:sz="4" w:space="0"/>
            </w:tcBorders>
            <w:vAlign w:val="center"/>
          </w:tcPr>
          <w:p w14:paraId="569D4FF7">
            <w:pPr>
              <w:widowControl/>
              <w:jc w:val="center"/>
              <w:rPr>
                <w:rFonts w:ascii="仿宋" w:hAnsi="仿宋" w:eastAsia="仿宋" w:cs="宋体"/>
                <w:kern w:val="0"/>
                <w:sz w:val="24"/>
              </w:rPr>
            </w:pPr>
            <w:r>
              <w:rPr>
                <w:rFonts w:hint="eastAsia" w:ascii="仿宋" w:hAnsi="仿宋" w:eastAsia="仿宋" w:cs="宋体"/>
                <w:kern w:val="0"/>
                <w:sz w:val="24"/>
              </w:rPr>
              <w:t>5000</w:t>
            </w:r>
          </w:p>
        </w:tc>
        <w:tc>
          <w:tcPr>
            <w:tcW w:w="1174" w:type="dxa"/>
            <w:tcBorders>
              <w:top w:val="nil"/>
              <w:left w:val="nil"/>
              <w:bottom w:val="single" w:color="auto" w:sz="4" w:space="0"/>
              <w:right w:val="single" w:color="auto" w:sz="4" w:space="0"/>
            </w:tcBorders>
            <w:vAlign w:val="center"/>
          </w:tcPr>
          <w:p w14:paraId="0167CCE6">
            <w:pPr>
              <w:widowControl/>
              <w:jc w:val="center"/>
              <w:rPr>
                <w:rFonts w:ascii="仿宋" w:hAnsi="仿宋" w:eastAsia="仿宋" w:cs="宋体"/>
                <w:kern w:val="0"/>
                <w:sz w:val="24"/>
              </w:rPr>
            </w:pPr>
            <w:r>
              <w:rPr>
                <w:rFonts w:hint="eastAsia" w:ascii="仿宋" w:hAnsi="仿宋" w:eastAsia="仿宋" w:cs="宋体"/>
                <w:kern w:val="0"/>
                <w:sz w:val="24"/>
              </w:rPr>
              <w:t>70</w:t>
            </w:r>
          </w:p>
        </w:tc>
        <w:tc>
          <w:tcPr>
            <w:tcW w:w="1560" w:type="dxa"/>
            <w:tcBorders>
              <w:top w:val="nil"/>
              <w:left w:val="nil"/>
              <w:bottom w:val="single" w:color="auto" w:sz="4" w:space="0"/>
              <w:right w:val="single" w:color="auto" w:sz="4" w:space="0"/>
            </w:tcBorders>
            <w:vAlign w:val="center"/>
          </w:tcPr>
          <w:p w14:paraId="2E50F9DC">
            <w:pPr>
              <w:widowControl/>
              <w:jc w:val="center"/>
              <w:rPr>
                <w:rFonts w:ascii="仿宋" w:hAnsi="仿宋" w:eastAsia="仿宋" w:cs="宋体"/>
                <w:kern w:val="0"/>
                <w:sz w:val="24"/>
              </w:rPr>
            </w:pPr>
            <w:r>
              <w:rPr>
                <w:rFonts w:hint="eastAsia" w:ascii="仿宋" w:hAnsi="仿宋" w:eastAsia="仿宋" w:cs="宋体"/>
                <w:kern w:val="0"/>
                <w:sz w:val="24"/>
              </w:rPr>
              <w:t>3000</w:t>
            </w:r>
          </w:p>
        </w:tc>
        <w:tc>
          <w:tcPr>
            <w:tcW w:w="1487" w:type="dxa"/>
            <w:tcBorders>
              <w:top w:val="nil"/>
              <w:left w:val="nil"/>
              <w:bottom w:val="single" w:color="auto" w:sz="4" w:space="0"/>
              <w:right w:val="single" w:color="auto" w:sz="4" w:space="0"/>
            </w:tcBorders>
            <w:vAlign w:val="center"/>
          </w:tcPr>
          <w:p w14:paraId="3DF66997">
            <w:pPr>
              <w:widowControl/>
              <w:jc w:val="center"/>
              <w:rPr>
                <w:rFonts w:ascii="仿宋" w:hAnsi="仿宋" w:eastAsia="仿宋" w:cs="宋体"/>
                <w:kern w:val="0"/>
                <w:sz w:val="24"/>
              </w:rPr>
            </w:pPr>
            <w:r>
              <w:rPr>
                <w:rFonts w:hint="eastAsia" w:ascii="仿宋" w:hAnsi="仿宋" w:eastAsia="仿宋" w:cs="宋体"/>
                <w:kern w:val="0"/>
                <w:sz w:val="24"/>
              </w:rPr>
              <w:t>3年</w:t>
            </w:r>
          </w:p>
        </w:tc>
      </w:tr>
      <w:bookmarkEnd w:id="2"/>
      <w:tr w14:paraId="0C49A5CB">
        <w:tblPrEx>
          <w:tblCellMar>
            <w:top w:w="0" w:type="dxa"/>
            <w:left w:w="0" w:type="dxa"/>
            <w:bottom w:w="0" w:type="dxa"/>
            <w:right w:w="0" w:type="dxa"/>
          </w:tblCellMar>
        </w:tblPrEx>
        <w:trPr>
          <w:trHeight w:val="501" w:hRule="atLeast"/>
          <w:jc w:val="right"/>
        </w:trPr>
        <w:tc>
          <w:tcPr>
            <w:tcW w:w="755" w:type="dxa"/>
            <w:tcBorders>
              <w:top w:val="nil"/>
              <w:left w:val="single" w:color="auto" w:sz="4" w:space="0"/>
              <w:bottom w:val="single" w:color="auto" w:sz="4" w:space="0"/>
              <w:right w:val="single" w:color="auto" w:sz="4" w:space="0"/>
            </w:tcBorders>
            <w:shd w:val="clear" w:color="auto" w:fill="auto"/>
            <w:vAlign w:val="center"/>
          </w:tcPr>
          <w:p w14:paraId="67819929">
            <w:pPr>
              <w:widowControl/>
              <w:jc w:val="center"/>
              <w:rPr>
                <w:rFonts w:ascii="仿宋" w:hAnsi="仿宋" w:eastAsia="仿宋"/>
                <w:kern w:val="0"/>
                <w:sz w:val="24"/>
              </w:rPr>
            </w:pPr>
            <w:r>
              <w:rPr>
                <w:rFonts w:ascii="仿宋" w:hAnsi="仿宋" w:eastAsia="仿宋"/>
                <w:kern w:val="0"/>
                <w:sz w:val="24"/>
              </w:rPr>
              <w:t>12</w:t>
            </w:r>
          </w:p>
        </w:tc>
        <w:tc>
          <w:tcPr>
            <w:tcW w:w="822" w:type="dxa"/>
            <w:vMerge w:val="continue"/>
            <w:tcBorders>
              <w:left w:val="single" w:color="auto" w:sz="4" w:space="0"/>
              <w:bottom w:val="single" w:color="000000" w:sz="4" w:space="0"/>
              <w:right w:val="single" w:color="auto" w:sz="4" w:space="0"/>
            </w:tcBorders>
            <w:shd w:val="clear" w:color="auto" w:fill="auto"/>
            <w:vAlign w:val="center"/>
          </w:tcPr>
          <w:p w14:paraId="4CD6D6DE">
            <w:pPr>
              <w:widowControl/>
              <w:jc w:val="left"/>
              <w:rPr>
                <w:rFonts w:ascii="仿宋" w:hAnsi="仿宋" w:eastAsia="仿宋"/>
                <w:kern w:val="0"/>
                <w:sz w:val="24"/>
              </w:rPr>
            </w:pPr>
          </w:p>
        </w:tc>
        <w:tc>
          <w:tcPr>
            <w:tcW w:w="1386" w:type="dxa"/>
            <w:tcBorders>
              <w:top w:val="nil"/>
              <w:left w:val="nil"/>
              <w:bottom w:val="single" w:color="auto" w:sz="4" w:space="0"/>
              <w:right w:val="single" w:color="auto" w:sz="4" w:space="0"/>
            </w:tcBorders>
            <w:shd w:val="clear" w:color="000000" w:fill="FFFFFF"/>
            <w:vAlign w:val="center"/>
          </w:tcPr>
          <w:p w14:paraId="635E392F">
            <w:pPr>
              <w:widowControl/>
              <w:jc w:val="center"/>
              <w:rPr>
                <w:rFonts w:ascii="仿宋" w:hAnsi="仿宋" w:eastAsia="仿宋"/>
                <w:kern w:val="0"/>
                <w:sz w:val="24"/>
              </w:rPr>
            </w:pPr>
            <w:r>
              <w:rPr>
                <w:rFonts w:ascii="仿宋" w:hAnsi="仿宋" w:eastAsia="仿宋"/>
                <w:kern w:val="0"/>
                <w:sz w:val="24"/>
              </w:rPr>
              <w:t>M03200</w:t>
            </w:r>
          </w:p>
        </w:tc>
        <w:tc>
          <w:tcPr>
            <w:tcW w:w="3598" w:type="dxa"/>
            <w:tcBorders>
              <w:top w:val="nil"/>
              <w:left w:val="nil"/>
              <w:bottom w:val="single" w:color="auto" w:sz="4" w:space="0"/>
              <w:right w:val="single" w:color="auto" w:sz="4" w:space="0"/>
            </w:tcBorders>
            <w:shd w:val="clear" w:color="000000" w:fill="FFFFFF"/>
            <w:vAlign w:val="center"/>
          </w:tcPr>
          <w:p w14:paraId="05737062">
            <w:pPr>
              <w:widowControl/>
              <w:jc w:val="center"/>
              <w:rPr>
                <w:rFonts w:ascii="仿宋" w:hAnsi="仿宋" w:eastAsia="仿宋"/>
                <w:kern w:val="0"/>
                <w:sz w:val="24"/>
              </w:rPr>
            </w:pPr>
            <w:r>
              <w:rPr>
                <w:rFonts w:ascii="仿宋" w:hAnsi="仿宋" w:eastAsia="仿宋"/>
                <w:kern w:val="0"/>
                <w:sz w:val="24"/>
              </w:rPr>
              <w:t>重症肌无力</w:t>
            </w:r>
          </w:p>
        </w:tc>
        <w:tc>
          <w:tcPr>
            <w:tcW w:w="1180" w:type="dxa"/>
            <w:tcBorders>
              <w:top w:val="nil"/>
              <w:left w:val="nil"/>
              <w:bottom w:val="single" w:color="auto" w:sz="4" w:space="0"/>
              <w:right w:val="single" w:color="auto" w:sz="4" w:space="0"/>
            </w:tcBorders>
            <w:vAlign w:val="center"/>
          </w:tcPr>
          <w:p w14:paraId="0A713198">
            <w:pPr>
              <w:widowControl/>
              <w:jc w:val="center"/>
              <w:rPr>
                <w:rFonts w:ascii="仿宋" w:hAnsi="仿宋" w:eastAsia="仿宋"/>
                <w:kern w:val="0"/>
                <w:sz w:val="24"/>
              </w:rPr>
            </w:pPr>
            <w:r>
              <w:rPr>
                <w:rFonts w:ascii="仿宋" w:hAnsi="仿宋" w:eastAsia="仿宋"/>
                <w:kern w:val="0"/>
                <w:sz w:val="24"/>
              </w:rPr>
              <w:t>85</w:t>
            </w:r>
          </w:p>
        </w:tc>
        <w:tc>
          <w:tcPr>
            <w:tcW w:w="1394" w:type="dxa"/>
            <w:tcBorders>
              <w:top w:val="nil"/>
              <w:left w:val="nil"/>
              <w:bottom w:val="single" w:color="auto" w:sz="4" w:space="0"/>
              <w:right w:val="single" w:color="auto" w:sz="4" w:space="0"/>
            </w:tcBorders>
            <w:vAlign w:val="center"/>
          </w:tcPr>
          <w:p w14:paraId="2AD26A98">
            <w:pPr>
              <w:widowControl/>
              <w:jc w:val="center"/>
              <w:rPr>
                <w:rFonts w:ascii="仿宋" w:hAnsi="仿宋" w:eastAsia="仿宋" w:cs="宋体"/>
                <w:kern w:val="0"/>
                <w:sz w:val="24"/>
              </w:rPr>
            </w:pPr>
            <w:r>
              <w:rPr>
                <w:rFonts w:hint="eastAsia" w:ascii="仿宋" w:hAnsi="仿宋" w:eastAsia="仿宋" w:cs="宋体"/>
                <w:kern w:val="0"/>
                <w:sz w:val="24"/>
              </w:rPr>
              <w:t>5000</w:t>
            </w:r>
          </w:p>
        </w:tc>
        <w:tc>
          <w:tcPr>
            <w:tcW w:w="1174" w:type="dxa"/>
            <w:tcBorders>
              <w:top w:val="nil"/>
              <w:left w:val="nil"/>
              <w:bottom w:val="single" w:color="auto" w:sz="4" w:space="0"/>
              <w:right w:val="single" w:color="auto" w:sz="4" w:space="0"/>
            </w:tcBorders>
            <w:vAlign w:val="center"/>
          </w:tcPr>
          <w:p w14:paraId="0E46C0B7">
            <w:pPr>
              <w:widowControl/>
              <w:jc w:val="center"/>
              <w:rPr>
                <w:rFonts w:ascii="仿宋" w:hAnsi="仿宋" w:eastAsia="仿宋" w:cs="宋体"/>
                <w:kern w:val="0"/>
                <w:sz w:val="24"/>
              </w:rPr>
            </w:pPr>
            <w:r>
              <w:rPr>
                <w:rFonts w:hint="eastAsia" w:ascii="仿宋" w:hAnsi="仿宋" w:eastAsia="仿宋" w:cs="宋体"/>
                <w:kern w:val="0"/>
                <w:sz w:val="24"/>
              </w:rPr>
              <w:t>70</w:t>
            </w:r>
          </w:p>
        </w:tc>
        <w:tc>
          <w:tcPr>
            <w:tcW w:w="1560" w:type="dxa"/>
            <w:tcBorders>
              <w:top w:val="nil"/>
              <w:left w:val="nil"/>
              <w:bottom w:val="single" w:color="auto" w:sz="4" w:space="0"/>
              <w:right w:val="single" w:color="auto" w:sz="4" w:space="0"/>
            </w:tcBorders>
            <w:vAlign w:val="center"/>
          </w:tcPr>
          <w:p w14:paraId="45803288">
            <w:pPr>
              <w:widowControl/>
              <w:jc w:val="center"/>
              <w:rPr>
                <w:rFonts w:ascii="仿宋" w:hAnsi="仿宋" w:eastAsia="仿宋" w:cs="宋体"/>
                <w:kern w:val="0"/>
                <w:sz w:val="24"/>
              </w:rPr>
            </w:pPr>
            <w:r>
              <w:rPr>
                <w:rFonts w:hint="eastAsia" w:ascii="仿宋" w:hAnsi="仿宋" w:eastAsia="仿宋" w:cs="宋体"/>
                <w:kern w:val="0"/>
                <w:sz w:val="24"/>
              </w:rPr>
              <w:t>5000</w:t>
            </w:r>
          </w:p>
        </w:tc>
        <w:tc>
          <w:tcPr>
            <w:tcW w:w="1487" w:type="dxa"/>
            <w:tcBorders>
              <w:top w:val="nil"/>
              <w:left w:val="nil"/>
              <w:bottom w:val="single" w:color="auto" w:sz="4" w:space="0"/>
              <w:right w:val="single" w:color="auto" w:sz="4" w:space="0"/>
            </w:tcBorders>
            <w:vAlign w:val="center"/>
          </w:tcPr>
          <w:p w14:paraId="6B628F7A">
            <w:pPr>
              <w:widowControl/>
              <w:jc w:val="center"/>
              <w:rPr>
                <w:rFonts w:ascii="仿宋" w:hAnsi="仿宋" w:eastAsia="仿宋" w:cs="宋体"/>
                <w:kern w:val="0"/>
                <w:sz w:val="24"/>
              </w:rPr>
            </w:pPr>
            <w:r>
              <w:rPr>
                <w:rFonts w:hint="eastAsia" w:ascii="仿宋" w:hAnsi="仿宋" w:eastAsia="仿宋" w:cs="宋体"/>
                <w:kern w:val="0"/>
                <w:sz w:val="24"/>
              </w:rPr>
              <w:t>3年</w:t>
            </w:r>
          </w:p>
        </w:tc>
      </w:tr>
      <w:tr w14:paraId="76C6AC7E">
        <w:tblPrEx>
          <w:tblCellMar>
            <w:top w:w="0" w:type="dxa"/>
            <w:left w:w="0" w:type="dxa"/>
            <w:bottom w:w="0" w:type="dxa"/>
            <w:right w:w="0" w:type="dxa"/>
          </w:tblCellMar>
        </w:tblPrEx>
        <w:trPr>
          <w:trHeight w:val="465" w:hRule="atLeast"/>
          <w:jc w:val="right"/>
        </w:trPr>
        <w:tc>
          <w:tcPr>
            <w:tcW w:w="755" w:type="dxa"/>
            <w:tcBorders>
              <w:top w:val="nil"/>
              <w:left w:val="single" w:color="auto" w:sz="4" w:space="0"/>
              <w:bottom w:val="single" w:color="auto" w:sz="4" w:space="0"/>
              <w:right w:val="single" w:color="auto" w:sz="4" w:space="0"/>
            </w:tcBorders>
            <w:shd w:val="clear" w:color="auto" w:fill="auto"/>
            <w:vAlign w:val="center"/>
          </w:tcPr>
          <w:p w14:paraId="5007F213">
            <w:pPr>
              <w:widowControl/>
              <w:jc w:val="center"/>
              <w:rPr>
                <w:rFonts w:ascii="仿宋" w:hAnsi="仿宋" w:eastAsia="仿宋"/>
                <w:kern w:val="0"/>
                <w:sz w:val="24"/>
              </w:rPr>
            </w:pPr>
            <w:r>
              <w:rPr>
                <w:rFonts w:ascii="仿宋" w:hAnsi="仿宋" w:eastAsia="仿宋"/>
                <w:kern w:val="0"/>
                <w:sz w:val="24"/>
              </w:rPr>
              <w:t>13</w:t>
            </w:r>
          </w:p>
        </w:tc>
        <w:tc>
          <w:tcPr>
            <w:tcW w:w="822" w:type="dxa"/>
            <w:vMerge w:val="restart"/>
            <w:tcBorders>
              <w:top w:val="nil"/>
              <w:left w:val="single" w:color="auto" w:sz="4" w:space="0"/>
              <w:right w:val="single" w:color="auto" w:sz="4" w:space="0"/>
            </w:tcBorders>
            <w:shd w:val="clear" w:color="auto" w:fill="auto"/>
            <w:vAlign w:val="center"/>
          </w:tcPr>
          <w:p w14:paraId="25F9603A">
            <w:pPr>
              <w:jc w:val="center"/>
              <w:rPr>
                <w:rFonts w:ascii="仿宋" w:hAnsi="仿宋" w:eastAsia="仿宋"/>
                <w:kern w:val="0"/>
                <w:sz w:val="24"/>
              </w:rPr>
            </w:pPr>
            <w:r>
              <w:rPr>
                <w:rFonts w:hint="eastAsia" w:ascii="仿宋" w:hAnsi="仿宋" w:eastAsia="仿宋" w:cs="宋体"/>
                <w:kern w:val="0"/>
                <w:sz w:val="24"/>
              </w:rPr>
              <w:t>Ⅰ</w:t>
            </w:r>
            <w:r>
              <w:rPr>
                <w:rFonts w:ascii="仿宋" w:hAnsi="仿宋" w:eastAsia="仿宋"/>
                <w:kern w:val="0"/>
                <w:sz w:val="24"/>
              </w:rPr>
              <w:t>类</w:t>
            </w:r>
          </w:p>
        </w:tc>
        <w:tc>
          <w:tcPr>
            <w:tcW w:w="1386" w:type="dxa"/>
            <w:tcBorders>
              <w:top w:val="nil"/>
              <w:left w:val="nil"/>
              <w:bottom w:val="single" w:color="auto" w:sz="4" w:space="0"/>
              <w:right w:val="single" w:color="auto" w:sz="4" w:space="0"/>
            </w:tcBorders>
            <w:shd w:val="clear" w:color="000000" w:fill="FFFFFF"/>
            <w:vAlign w:val="center"/>
          </w:tcPr>
          <w:p w14:paraId="03404E9C">
            <w:pPr>
              <w:widowControl/>
              <w:jc w:val="center"/>
              <w:rPr>
                <w:rFonts w:ascii="仿宋" w:hAnsi="仿宋" w:eastAsia="仿宋"/>
                <w:kern w:val="0"/>
                <w:sz w:val="24"/>
              </w:rPr>
            </w:pPr>
            <w:r>
              <w:rPr>
                <w:rFonts w:ascii="仿宋" w:hAnsi="仿宋" w:eastAsia="仿宋"/>
                <w:kern w:val="0"/>
                <w:sz w:val="24"/>
              </w:rPr>
              <w:t>M02400</w:t>
            </w:r>
          </w:p>
        </w:tc>
        <w:tc>
          <w:tcPr>
            <w:tcW w:w="3598" w:type="dxa"/>
            <w:tcBorders>
              <w:top w:val="nil"/>
              <w:left w:val="nil"/>
              <w:bottom w:val="single" w:color="auto" w:sz="4" w:space="0"/>
              <w:right w:val="single" w:color="auto" w:sz="4" w:space="0"/>
            </w:tcBorders>
            <w:shd w:val="clear" w:color="000000" w:fill="FFFFFF"/>
            <w:vAlign w:val="center"/>
          </w:tcPr>
          <w:p w14:paraId="687CCAD3">
            <w:pPr>
              <w:widowControl/>
              <w:jc w:val="center"/>
              <w:rPr>
                <w:rFonts w:ascii="仿宋" w:hAnsi="仿宋" w:eastAsia="仿宋"/>
                <w:kern w:val="0"/>
                <w:sz w:val="24"/>
              </w:rPr>
            </w:pPr>
            <w:r>
              <w:rPr>
                <w:rFonts w:ascii="仿宋" w:hAnsi="仿宋" w:eastAsia="仿宋"/>
                <w:kern w:val="0"/>
                <w:sz w:val="24"/>
              </w:rPr>
              <w:t>阿尔茨海默病</w:t>
            </w:r>
          </w:p>
        </w:tc>
        <w:tc>
          <w:tcPr>
            <w:tcW w:w="1180" w:type="dxa"/>
            <w:tcBorders>
              <w:top w:val="nil"/>
              <w:left w:val="nil"/>
              <w:bottom w:val="single" w:color="auto" w:sz="4" w:space="0"/>
              <w:right w:val="single" w:color="auto" w:sz="4" w:space="0"/>
            </w:tcBorders>
            <w:vAlign w:val="center"/>
          </w:tcPr>
          <w:p w14:paraId="479118D5">
            <w:pPr>
              <w:widowControl/>
              <w:jc w:val="center"/>
              <w:rPr>
                <w:rFonts w:ascii="仿宋" w:hAnsi="仿宋" w:eastAsia="仿宋"/>
                <w:kern w:val="0"/>
                <w:sz w:val="24"/>
              </w:rPr>
            </w:pPr>
            <w:r>
              <w:rPr>
                <w:rFonts w:ascii="仿宋" w:hAnsi="仿宋" w:eastAsia="仿宋"/>
                <w:kern w:val="0"/>
                <w:sz w:val="24"/>
              </w:rPr>
              <w:t>85</w:t>
            </w:r>
          </w:p>
        </w:tc>
        <w:tc>
          <w:tcPr>
            <w:tcW w:w="1394" w:type="dxa"/>
            <w:tcBorders>
              <w:top w:val="nil"/>
              <w:left w:val="nil"/>
              <w:bottom w:val="single" w:color="auto" w:sz="4" w:space="0"/>
              <w:right w:val="single" w:color="auto" w:sz="4" w:space="0"/>
            </w:tcBorders>
            <w:vAlign w:val="center"/>
          </w:tcPr>
          <w:p w14:paraId="70C9AB8B">
            <w:pPr>
              <w:widowControl/>
              <w:jc w:val="center"/>
              <w:rPr>
                <w:rFonts w:ascii="仿宋" w:hAnsi="仿宋" w:eastAsia="仿宋" w:cs="宋体"/>
                <w:kern w:val="0"/>
                <w:sz w:val="24"/>
              </w:rPr>
            </w:pPr>
            <w:r>
              <w:rPr>
                <w:rFonts w:hint="eastAsia" w:ascii="仿宋" w:hAnsi="仿宋" w:eastAsia="仿宋" w:cs="宋体"/>
                <w:kern w:val="0"/>
                <w:sz w:val="24"/>
              </w:rPr>
              <w:t>4000</w:t>
            </w:r>
          </w:p>
        </w:tc>
        <w:tc>
          <w:tcPr>
            <w:tcW w:w="1174" w:type="dxa"/>
            <w:tcBorders>
              <w:top w:val="nil"/>
              <w:left w:val="nil"/>
              <w:bottom w:val="single" w:color="auto" w:sz="4" w:space="0"/>
              <w:right w:val="single" w:color="auto" w:sz="4" w:space="0"/>
            </w:tcBorders>
            <w:vAlign w:val="center"/>
          </w:tcPr>
          <w:p w14:paraId="4B43014E">
            <w:pPr>
              <w:widowControl/>
              <w:jc w:val="center"/>
              <w:rPr>
                <w:rFonts w:ascii="仿宋" w:hAnsi="仿宋" w:eastAsia="仿宋" w:cs="宋体"/>
                <w:kern w:val="0"/>
                <w:sz w:val="24"/>
              </w:rPr>
            </w:pPr>
            <w:r>
              <w:rPr>
                <w:rFonts w:hint="eastAsia" w:ascii="仿宋" w:hAnsi="仿宋" w:eastAsia="仿宋" w:cs="宋体"/>
                <w:kern w:val="0"/>
                <w:sz w:val="24"/>
              </w:rPr>
              <w:t>70</w:t>
            </w:r>
          </w:p>
        </w:tc>
        <w:tc>
          <w:tcPr>
            <w:tcW w:w="1560" w:type="dxa"/>
            <w:tcBorders>
              <w:top w:val="nil"/>
              <w:left w:val="nil"/>
              <w:bottom w:val="single" w:color="auto" w:sz="4" w:space="0"/>
              <w:right w:val="single" w:color="auto" w:sz="4" w:space="0"/>
            </w:tcBorders>
            <w:vAlign w:val="center"/>
          </w:tcPr>
          <w:p w14:paraId="425408E9">
            <w:pPr>
              <w:widowControl/>
              <w:jc w:val="center"/>
              <w:rPr>
                <w:rFonts w:ascii="仿宋" w:hAnsi="仿宋" w:eastAsia="仿宋" w:cs="宋体"/>
                <w:kern w:val="0"/>
                <w:sz w:val="24"/>
              </w:rPr>
            </w:pPr>
            <w:r>
              <w:rPr>
                <w:rFonts w:hint="eastAsia" w:ascii="仿宋" w:hAnsi="仿宋" w:eastAsia="仿宋" w:cs="宋体"/>
                <w:kern w:val="0"/>
                <w:sz w:val="24"/>
              </w:rPr>
              <w:t>4000</w:t>
            </w:r>
          </w:p>
        </w:tc>
        <w:tc>
          <w:tcPr>
            <w:tcW w:w="1487" w:type="dxa"/>
            <w:tcBorders>
              <w:top w:val="nil"/>
              <w:left w:val="nil"/>
              <w:bottom w:val="single" w:color="auto" w:sz="4" w:space="0"/>
              <w:right w:val="single" w:color="auto" w:sz="4" w:space="0"/>
            </w:tcBorders>
            <w:vAlign w:val="center"/>
          </w:tcPr>
          <w:p w14:paraId="1B0D8133">
            <w:pPr>
              <w:widowControl/>
              <w:jc w:val="center"/>
              <w:rPr>
                <w:rFonts w:ascii="仿宋" w:hAnsi="仿宋" w:eastAsia="仿宋" w:cs="宋体"/>
                <w:kern w:val="0"/>
                <w:sz w:val="24"/>
              </w:rPr>
            </w:pPr>
            <w:r>
              <w:rPr>
                <w:rFonts w:hint="eastAsia" w:ascii="仿宋" w:hAnsi="仿宋" w:eastAsia="仿宋" w:cs="宋体"/>
                <w:kern w:val="0"/>
                <w:sz w:val="24"/>
              </w:rPr>
              <w:t>5年</w:t>
            </w:r>
          </w:p>
        </w:tc>
      </w:tr>
      <w:tr w14:paraId="7DC989CB">
        <w:tblPrEx>
          <w:tblCellMar>
            <w:top w:w="0" w:type="dxa"/>
            <w:left w:w="0" w:type="dxa"/>
            <w:bottom w:w="0" w:type="dxa"/>
            <w:right w:w="0" w:type="dxa"/>
          </w:tblCellMar>
        </w:tblPrEx>
        <w:trPr>
          <w:trHeight w:val="465" w:hRule="atLeast"/>
          <w:jc w:val="right"/>
        </w:trPr>
        <w:tc>
          <w:tcPr>
            <w:tcW w:w="755" w:type="dxa"/>
            <w:tcBorders>
              <w:top w:val="nil"/>
              <w:left w:val="single" w:color="auto" w:sz="4" w:space="0"/>
              <w:bottom w:val="single" w:color="auto" w:sz="4" w:space="0"/>
              <w:right w:val="single" w:color="auto" w:sz="4" w:space="0"/>
            </w:tcBorders>
            <w:shd w:val="clear" w:color="auto" w:fill="auto"/>
            <w:vAlign w:val="center"/>
          </w:tcPr>
          <w:p w14:paraId="59F2BEEA">
            <w:pPr>
              <w:widowControl/>
              <w:jc w:val="center"/>
              <w:rPr>
                <w:rFonts w:ascii="仿宋" w:hAnsi="仿宋" w:eastAsia="仿宋"/>
                <w:kern w:val="0"/>
                <w:sz w:val="24"/>
              </w:rPr>
            </w:pPr>
            <w:r>
              <w:rPr>
                <w:rFonts w:ascii="仿宋" w:hAnsi="仿宋" w:eastAsia="仿宋"/>
                <w:kern w:val="0"/>
                <w:sz w:val="24"/>
              </w:rPr>
              <w:t>14</w:t>
            </w:r>
          </w:p>
        </w:tc>
        <w:tc>
          <w:tcPr>
            <w:tcW w:w="822" w:type="dxa"/>
            <w:vMerge w:val="continue"/>
            <w:tcBorders>
              <w:left w:val="single" w:color="auto" w:sz="4" w:space="0"/>
              <w:right w:val="single" w:color="auto" w:sz="4" w:space="0"/>
            </w:tcBorders>
            <w:shd w:val="clear" w:color="auto" w:fill="auto"/>
            <w:vAlign w:val="center"/>
          </w:tcPr>
          <w:p w14:paraId="0DC54688">
            <w:pPr>
              <w:jc w:val="center"/>
              <w:rPr>
                <w:rFonts w:ascii="仿宋" w:hAnsi="仿宋" w:eastAsia="仿宋"/>
                <w:kern w:val="0"/>
                <w:sz w:val="24"/>
              </w:rPr>
            </w:pPr>
          </w:p>
        </w:tc>
        <w:tc>
          <w:tcPr>
            <w:tcW w:w="1386" w:type="dxa"/>
            <w:tcBorders>
              <w:top w:val="nil"/>
              <w:left w:val="nil"/>
              <w:bottom w:val="single" w:color="auto" w:sz="4" w:space="0"/>
              <w:right w:val="single" w:color="auto" w:sz="4" w:space="0"/>
            </w:tcBorders>
            <w:shd w:val="clear" w:color="000000" w:fill="FFFFFF"/>
            <w:vAlign w:val="center"/>
          </w:tcPr>
          <w:p w14:paraId="14217C95">
            <w:pPr>
              <w:widowControl/>
              <w:jc w:val="center"/>
              <w:rPr>
                <w:rFonts w:ascii="仿宋" w:hAnsi="仿宋" w:eastAsia="仿宋"/>
                <w:kern w:val="0"/>
                <w:sz w:val="24"/>
              </w:rPr>
            </w:pPr>
            <w:r>
              <w:rPr>
                <w:rFonts w:ascii="仿宋" w:hAnsi="仿宋" w:eastAsia="仿宋"/>
                <w:kern w:val="0"/>
                <w:sz w:val="24"/>
              </w:rPr>
              <w:t>M02601</w:t>
            </w:r>
          </w:p>
        </w:tc>
        <w:tc>
          <w:tcPr>
            <w:tcW w:w="3598" w:type="dxa"/>
            <w:tcBorders>
              <w:top w:val="nil"/>
              <w:left w:val="nil"/>
              <w:bottom w:val="single" w:color="auto" w:sz="4" w:space="0"/>
              <w:right w:val="single" w:color="auto" w:sz="4" w:space="0"/>
            </w:tcBorders>
            <w:shd w:val="clear" w:color="000000" w:fill="FFFFFF"/>
            <w:vAlign w:val="center"/>
          </w:tcPr>
          <w:p w14:paraId="61312E61">
            <w:pPr>
              <w:widowControl/>
              <w:jc w:val="center"/>
              <w:rPr>
                <w:rFonts w:ascii="仿宋" w:hAnsi="仿宋" w:eastAsia="仿宋"/>
                <w:kern w:val="0"/>
                <w:sz w:val="24"/>
              </w:rPr>
            </w:pPr>
            <w:r>
              <w:rPr>
                <w:rFonts w:ascii="仿宋" w:hAnsi="仿宋" w:eastAsia="仿宋"/>
                <w:kern w:val="0"/>
                <w:sz w:val="24"/>
              </w:rPr>
              <w:t>脑瘫</w:t>
            </w:r>
          </w:p>
        </w:tc>
        <w:tc>
          <w:tcPr>
            <w:tcW w:w="1180" w:type="dxa"/>
            <w:tcBorders>
              <w:top w:val="nil"/>
              <w:left w:val="nil"/>
              <w:bottom w:val="single" w:color="auto" w:sz="4" w:space="0"/>
              <w:right w:val="single" w:color="auto" w:sz="4" w:space="0"/>
            </w:tcBorders>
            <w:vAlign w:val="center"/>
          </w:tcPr>
          <w:p w14:paraId="18E34C52">
            <w:pPr>
              <w:widowControl/>
              <w:jc w:val="center"/>
              <w:rPr>
                <w:rFonts w:ascii="仿宋" w:hAnsi="仿宋" w:eastAsia="仿宋"/>
                <w:kern w:val="0"/>
                <w:sz w:val="24"/>
              </w:rPr>
            </w:pPr>
            <w:r>
              <w:rPr>
                <w:rFonts w:ascii="仿宋" w:hAnsi="仿宋" w:eastAsia="仿宋"/>
                <w:kern w:val="0"/>
                <w:sz w:val="24"/>
              </w:rPr>
              <w:t>85</w:t>
            </w:r>
          </w:p>
        </w:tc>
        <w:tc>
          <w:tcPr>
            <w:tcW w:w="1394" w:type="dxa"/>
            <w:tcBorders>
              <w:top w:val="nil"/>
              <w:left w:val="nil"/>
              <w:bottom w:val="single" w:color="auto" w:sz="4" w:space="0"/>
              <w:right w:val="single" w:color="auto" w:sz="4" w:space="0"/>
            </w:tcBorders>
            <w:vAlign w:val="center"/>
          </w:tcPr>
          <w:p w14:paraId="25AC3D03">
            <w:pPr>
              <w:widowControl/>
              <w:jc w:val="center"/>
              <w:rPr>
                <w:rFonts w:ascii="仿宋" w:hAnsi="仿宋" w:eastAsia="仿宋" w:cs="宋体"/>
                <w:kern w:val="0"/>
                <w:sz w:val="24"/>
              </w:rPr>
            </w:pPr>
            <w:r>
              <w:rPr>
                <w:rFonts w:hint="eastAsia" w:ascii="仿宋" w:hAnsi="仿宋" w:eastAsia="仿宋" w:cs="宋体"/>
                <w:kern w:val="0"/>
                <w:sz w:val="24"/>
              </w:rPr>
              <w:t>10000</w:t>
            </w:r>
          </w:p>
        </w:tc>
        <w:tc>
          <w:tcPr>
            <w:tcW w:w="1174" w:type="dxa"/>
            <w:tcBorders>
              <w:top w:val="nil"/>
              <w:left w:val="nil"/>
              <w:bottom w:val="single" w:color="auto" w:sz="4" w:space="0"/>
              <w:right w:val="single" w:color="auto" w:sz="4" w:space="0"/>
            </w:tcBorders>
            <w:vAlign w:val="center"/>
          </w:tcPr>
          <w:p w14:paraId="66E582E9">
            <w:pPr>
              <w:widowControl/>
              <w:jc w:val="center"/>
              <w:rPr>
                <w:rFonts w:ascii="仿宋" w:hAnsi="仿宋" w:eastAsia="仿宋" w:cs="宋体"/>
                <w:kern w:val="0"/>
                <w:sz w:val="24"/>
              </w:rPr>
            </w:pPr>
            <w:r>
              <w:rPr>
                <w:rFonts w:hint="eastAsia" w:ascii="仿宋" w:hAnsi="仿宋" w:eastAsia="仿宋" w:cs="宋体"/>
                <w:kern w:val="0"/>
                <w:sz w:val="24"/>
              </w:rPr>
              <w:t>70</w:t>
            </w:r>
          </w:p>
        </w:tc>
        <w:tc>
          <w:tcPr>
            <w:tcW w:w="1560" w:type="dxa"/>
            <w:tcBorders>
              <w:top w:val="nil"/>
              <w:left w:val="nil"/>
              <w:bottom w:val="single" w:color="auto" w:sz="4" w:space="0"/>
              <w:right w:val="single" w:color="auto" w:sz="4" w:space="0"/>
            </w:tcBorders>
            <w:vAlign w:val="center"/>
          </w:tcPr>
          <w:p w14:paraId="05F389B8">
            <w:pPr>
              <w:widowControl/>
              <w:jc w:val="center"/>
              <w:rPr>
                <w:rFonts w:ascii="仿宋" w:hAnsi="仿宋" w:eastAsia="仿宋" w:cs="宋体"/>
                <w:kern w:val="0"/>
                <w:sz w:val="24"/>
              </w:rPr>
            </w:pPr>
            <w:r>
              <w:rPr>
                <w:rFonts w:hint="eastAsia" w:ascii="仿宋" w:hAnsi="仿宋" w:eastAsia="仿宋" w:cs="宋体"/>
                <w:kern w:val="0"/>
                <w:sz w:val="24"/>
              </w:rPr>
              <w:t>10000</w:t>
            </w:r>
          </w:p>
        </w:tc>
        <w:tc>
          <w:tcPr>
            <w:tcW w:w="1487" w:type="dxa"/>
            <w:tcBorders>
              <w:top w:val="nil"/>
              <w:left w:val="nil"/>
              <w:bottom w:val="single" w:color="auto" w:sz="4" w:space="0"/>
              <w:right w:val="single" w:color="auto" w:sz="4" w:space="0"/>
            </w:tcBorders>
            <w:vAlign w:val="center"/>
          </w:tcPr>
          <w:p w14:paraId="6B23A4E4">
            <w:pPr>
              <w:widowControl/>
              <w:jc w:val="center"/>
              <w:rPr>
                <w:rFonts w:ascii="仿宋" w:hAnsi="仿宋" w:eastAsia="仿宋" w:cs="宋体"/>
                <w:kern w:val="0"/>
                <w:sz w:val="24"/>
              </w:rPr>
            </w:pPr>
            <w:r>
              <w:rPr>
                <w:rFonts w:hint="eastAsia" w:ascii="仿宋" w:hAnsi="仿宋" w:eastAsia="仿宋" w:cs="宋体"/>
                <w:kern w:val="0"/>
                <w:sz w:val="24"/>
              </w:rPr>
              <w:t>5年</w:t>
            </w:r>
          </w:p>
        </w:tc>
      </w:tr>
      <w:tr w14:paraId="1DFDD484">
        <w:tblPrEx>
          <w:tblCellMar>
            <w:top w:w="0" w:type="dxa"/>
            <w:left w:w="0" w:type="dxa"/>
            <w:bottom w:w="0" w:type="dxa"/>
            <w:right w:w="0" w:type="dxa"/>
          </w:tblCellMar>
        </w:tblPrEx>
        <w:trPr>
          <w:trHeight w:val="465" w:hRule="atLeast"/>
          <w:jc w:val="right"/>
        </w:trPr>
        <w:tc>
          <w:tcPr>
            <w:tcW w:w="755" w:type="dxa"/>
            <w:tcBorders>
              <w:top w:val="nil"/>
              <w:left w:val="single" w:color="auto" w:sz="4" w:space="0"/>
              <w:bottom w:val="single" w:color="auto" w:sz="4" w:space="0"/>
              <w:right w:val="single" w:color="auto" w:sz="4" w:space="0"/>
            </w:tcBorders>
            <w:shd w:val="clear" w:color="auto" w:fill="auto"/>
            <w:vAlign w:val="center"/>
          </w:tcPr>
          <w:p w14:paraId="2FFFCA87">
            <w:pPr>
              <w:widowControl/>
              <w:jc w:val="center"/>
              <w:rPr>
                <w:rFonts w:ascii="仿宋" w:hAnsi="仿宋" w:eastAsia="仿宋"/>
                <w:kern w:val="0"/>
                <w:sz w:val="24"/>
              </w:rPr>
            </w:pPr>
            <w:r>
              <w:rPr>
                <w:rFonts w:ascii="仿宋" w:hAnsi="仿宋" w:eastAsia="仿宋"/>
                <w:kern w:val="0"/>
                <w:sz w:val="24"/>
              </w:rPr>
              <w:t>15</w:t>
            </w:r>
          </w:p>
        </w:tc>
        <w:tc>
          <w:tcPr>
            <w:tcW w:w="822" w:type="dxa"/>
            <w:vMerge w:val="continue"/>
            <w:tcBorders>
              <w:left w:val="single" w:color="auto" w:sz="4" w:space="0"/>
              <w:right w:val="single" w:color="auto" w:sz="4" w:space="0"/>
            </w:tcBorders>
            <w:shd w:val="clear" w:color="auto" w:fill="auto"/>
            <w:vAlign w:val="center"/>
          </w:tcPr>
          <w:p w14:paraId="57FD9DC9">
            <w:pPr>
              <w:jc w:val="center"/>
              <w:rPr>
                <w:rFonts w:ascii="仿宋" w:hAnsi="仿宋" w:eastAsia="仿宋"/>
                <w:kern w:val="0"/>
                <w:sz w:val="24"/>
              </w:rPr>
            </w:pPr>
          </w:p>
        </w:tc>
        <w:tc>
          <w:tcPr>
            <w:tcW w:w="1386" w:type="dxa"/>
            <w:tcBorders>
              <w:top w:val="nil"/>
              <w:left w:val="nil"/>
              <w:bottom w:val="single" w:color="auto" w:sz="4" w:space="0"/>
              <w:right w:val="single" w:color="auto" w:sz="4" w:space="0"/>
            </w:tcBorders>
            <w:shd w:val="clear" w:color="000000" w:fill="FFFFFF"/>
            <w:vAlign w:val="center"/>
          </w:tcPr>
          <w:p w14:paraId="02A55ACF">
            <w:pPr>
              <w:widowControl/>
              <w:jc w:val="center"/>
              <w:rPr>
                <w:rFonts w:ascii="仿宋" w:hAnsi="仿宋" w:eastAsia="仿宋"/>
                <w:kern w:val="0"/>
                <w:sz w:val="24"/>
              </w:rPr>
            </w:pPr>
            <w:r>
              <w:rPr>
                <w:rFonts w:ascii="仿宋" w:hAnsi="仿宋" w:eastAsia="仿宋"/>
                <w:kern w:val="0"/>
                <w:sz w:val="24"/>
              </w:rPr>
              <w:t>M02500</w:t>
            </w:r>
          </w:p>
        </w:tc>
        <w:tc>
          <w:tcPr>
            <w:tcW w:w="3598" w:type="dxa"/>
            <w:tcBorders>
              <w:top w:val="nil"/>
              <w:left w:val="nil"/>
              <w:bottom w:val="single" w:color="auto" w:sz="4" w:space="0"/>
              <w:right w:val="single" w:color="auto" w:sz="4" w:space="0"/>
            </w:tcBorders>
            <w:shd w:val="clear" w:color="000000" w:fill="FFFFFF"/>
            <w:vAlign w:val="center"/>
          </w:tcPr>
          <w:p w14:paraId="05B334E8">
            <w:pPr>
              <w:widowControl/>
              <w:jc w:val="center"/>
              <w:rPr>
                <w:rFonts w:ascii="仿宋" w:hAnsi="仿宋" w:eastAsia="仿宋"/>
                <w:kern w:val="0"/>
                <w:sz w:val="24"/>
              </w:rPr>
            </w:pPr>
            <w:r>
              <w:rPr>
                <w:rFonts w:ascii="仿宋" w:hAnsi="仿宋" w:eastAsia="仿宋"/>
                <w:kern w:val="0"/>
                <w:sz w:val="24"/>
              </w:rPr>
              <w:t>癫痫</w:t>
            </w:r>
          </w:p>
        </w:tc>
        <w:tc>
          <w:tcPr>
            <w:tcW w:w="1180" w:type="dxa"/>
            <w:tcBorders>
              <w:top w:val="nil"/>
              <w:left w:val="nil"/>
              <w:bottom w:val="single" w:color="auto" w:sz="4" w:space="0"/>
              <w:right w:val="single" w:color="auto" w:sz="4" w:space="0"/>
            </w:tcBorders>
            <w:vAlign w:val="center"/>
          </w:tcPr>
          <w:p w14:paraId="27D8D4CE">
            <w:pPr>
              <w:widowControl/>
              <w:jc w:val="center"/>
              <w:rPr>
                <w:rFonts w:ascii="仿宋" w:hAnsi="仿宋" w:eastAsia="仿宋"/>
                <w:kern w:val="0"/>
                <w:sz w:val="24"/>
              </w:rPr>
            </w:pPr>
            <w:r>
              <w:rPr>
                <w:rFonts w:ascii="仿宋" w:hAnsi="仿宋" w:eastAsia="仿宋"/>
                <w:kern w:val="0"/>
                <w:sz w:val="24"/>
              </w:rPr>
              <w:t>85</w:t>
            </w:r>
          </w:p>
        </w:tc>
        <w:tc>
          <w:tcPr>
            <w:tcW w:w="1394" w:type="dxa"/>
            <w:tcBorders>
              <w:top w:val="nil"/>
              <w:left w:val="nil"/>
              <w:bottom w:val="single" w:color="auto" w:sz="4" w:space="0"/>
              <w:right w:val="single" w:color="auto" w:sz="4" w:space="0"/>
            </w:tcBorders>
            <w:vAlign w:val="center"/>
          </w:tcPr>
          <w:p w14:paraId="5F2C845C">
            <w:pPr>
              <w:widowControl/>
              <w:jc w:val="center"/>
              <w:rPr>
                <w:rFonts w:ascii="仿宋" w:hAnsi="仿宋" w:eastAsia="仿宋" w:cs="宋体"/>
                <w:kern w:val="0"/>
                <w:sz w:val="24"/>
              </w:rPr>
            </w:pPr>
            <w:r>
              <w:rPr>
                <w:rFonts w:hint="eastAsia" w:ascii="仿宋" w:hAnsi="仿宋" w:eastAsia="仿宋" w:cs="宋体"/>
                <w:kern w:val="0"/>
                <w:sz w:val="24"/>
              </w:rPr>
              <w:t>4000</w:t>
            </w:r>
          </w:p>
        </w:tc>
        <w:tc>
          <w:tcPr>
            <w:tcW w:w="1174" w:type="dxa"/>
            <w:tcBorders>
              <w:top w:val="nil"/>
              <w:left w:val="nil"/>
              <w:bottom w:val="single" w:color="auto" w:sz="4" w:space="0"/>
              <w:right w:val="single" w:color="auto" w:sz="4" w:space="0"/>
            </w:tcBorders>
            <w:vAlign w:val="center"/>
          </w:tcPr>
          <w:p w14:paraId="35B48B21">
            <w:pPr>
              <w:widowControl/>
              <w:jc w:val="center"/>
              <w:rPr>
                <w:rFonts w:ascii="仿宋" w:hAnsi="仿宋" w:eastAsia="仿宋" w:cs="宋体"/>
                <w:kern w:val="0"/>
                <w:sz w:val="24"/>
              </w:rPr>
            </w:pPr>
            <w:r>
              <w:rPr>
                <w:rFonts w:hint="eastAsia" w:ascii="仿宋" w:hAnsi="仿宋" w:eastAsia="仿宋" w:cs="宋体"/>
                <w:kern w:val="0"/>
                <w:sz w:val="24"/>
              </w:rPr>
              <w:t>70</w:t>
            </w:r>
          </w:p>
        </w:tc>
        <w:tc>
          <w:tcPr>
            <w:tcW w:w="1560" w:type="dxa"/>
            <w:tcBorders>
              <w:top w:val="nil"/>
              <w:left w:val="nil"/>
              <w:bottom w:val="single" w:color="auto" w:sz="4" w:space="0"/>
              <w:right w:val="single" w:color="auto" w:sz="4" w:space="0"/>
            </w:tcBorders>
            <w:vAlign w:val="center"/>
          </w:tcPr>
          <w:p w14:paraId="521D7002">
            <w:pPr>
              <w:widowControl/>
              <w:jc w:val="center"/>
              <w:rPr>
                <w:rFonts w:ascii="仿宋" w:hAnsi="仿宋" w:eastAsia="仿宋" w:cs="宋体"/>
                <w:kern w:val="0"/>
                <w:sz w:val="24"/>
              </w:rPr>
            </w:pPr>
            <w:r>
              <w:rPr>
                <w:rFonts w:hint="eastAsia" w:ascii="仿宋" w:hAnsi="仿宋" w:eastAsia="仿宋" w:cs="宋体"/>
                <w:kern w:val="0"/>
                <w:sz w:val="24"/>
              </w:rPr>
              <w:t>4000</w:t>
            </w:r>
          </w:p>
        </w:tc>
        <w:tc>
          <w:tcPr>
            <w:tcW w:w="1487" w:type="dxa"/>
            <w:tcBorders>
              <w:top w:val="nil"/>
              <w:left w:val="nil"/>
              <w:bottom w:val="single" w:color="auto" w:sz="4" w:space="0"/>
              <w:right w:val="single" w:color="auto" w:sz="4" w:space="0"/>
            </w:tcBorders>
            <w:vAlign w:val="center"/>
          </w:tcPr>
          <w:p w14:paraId="41CBE2D1">
            <w:pPr>
              <w:widowControl/>
              <w:jc w:val="center"/>
              <w:rPr>
                <w:rFonts w:ascii="仿宋" w:hAnsi="仿宋" w:eastAsia="仿宋" w:cs="宋体"/>
                <w:kern w:val="0"/>
                <w:sz w:val="24"/>
              </w:rPr>
            </w:pPr>
            <w:r>
              <w:rPr>
                <w:rFonts w:hint="eastAsia" w:ascii="仿宋" w:hAnsi="仿宋" w:eastAsia="仿宋" w:cs="宋体"/>
                <w:kern w:val="0"/>
                <w:sz w:val="24"/>
              </w:rPr>
              <w:t>3年</w:t>
            </w:r>
          </w:p>
        </w:tc>
      </w:tr>
      <w:tr w14:paraId="06EBD798">
        <w:tblPrEx>
          <w:tblCellMar>
            <w:top w:w="0" w:type="dxa"/>
            <w:left w:w="0" w:type="dxa"/>
            <w:bottom w:w="0" w:type="dxa"/>
            <w:right w:w="0" w:type="dxa"/>
          </w:tblCellMar>
        </w:tblPrEx>
        <w:trPr>
          <w:trHeight w:val="465" w:hRule="atLeast"/>
          <w:jc w:val="right"/>
        </w:trPr>
        <w:tc>
          <w:tcPr>
            <w:tcW w:w="755" w:type="dxa"/>
            <w:tcBorders>
              <w:top w:val="nil"/>
              <w:left w:val="single" w:color="auto" w:sz="4" w:space="0"/>
              <w:bottom w:val="single" w:color="auto" w:sz="4" w:space="0"/>
              <w:right w:val="single" w:color="auto" w:sz="4" w:space="0"/>
            </w:tcBorders>
            <w:shd w:val="clear" w:color="auto" w:fill="auto"/>
            <w:vAlign w:val="center"/>
          </w:tcPr>
          <w:p w14:paraId="55BC88C9">
            <w:pPr>
              <w:widowControl/>
              <w:jc w:val="center"/>
              <w:rPr>
                <w:rFonts w:ascii="仿宋" w:hAnsi="仿宋" w:eastAsia="仿宋"/>
                <w:kern w:val="0"/>
                <w:sz w:val="24"/>
              </w:rPr>
            </w:pPr>
            <w:r>
              <w:rPr>
                <w:rFonts w:ascii="仿宋" w:hAnsi="仿宋" w:eastAsia="仿宋"/>
                <w:kern w:val="0"/>
                <w:sz w:val="24"/>
              </w:rPr>
              <w:t>16</w:t>
            </w:r>
          </w:p>
        </w:tc>
        <w:tc>
          <w:tcPr>
            <w:tcW w:w="822" w:type="dxa"/>
            <w:vMerge w:val="continue"/>
            <w:tcBorders>
              <w:left w:val="single" w:color="auto" w:sz="4" w:space="0"/>
              <w:right w:val="single" w:color="auto" w:sz="4" w:space="0"/>
            </w:tcBorders>
            <w:shd w:val="clear" w:color="auto" w:fill="auto"/>
            <w:vAlign w:val="center"/>
          </w:tcPr>
          <w:p w14:paraId="0B9F4C67">
            <w:pPr>
              <w:jc w:val="center"/>
              <w:rPr>
                <w:rFonts w:ascii="仿宋" w:hAnsi="仿宋" w:eastAsia="仿宋"/>
                <w:kern w:val="0"/>
                <w:sz w:val="24"/>
              </w:rPr>
            </w:pPr>
          </w:p>
        </w:tc>
        <w:tc>
          <w:tcPr>
            <w:tcW w:w="1386" w:type="dxa"/>
            <w:tcBorders>
              <w:top w:val="nil"/>
              <w:left w:val="nil"/>
              <w:bottom w:val="single" w:color="auto" w:sz="4" w:space="0"/>
              <w:right w:val="single" w:color="auto" w:sz="4" w:space="0"/>
            </w:tcBorders>
            <w:shd w:val="clear" w:color="000000" w:fill="FFFFFF"/>
            <w:vAlign w:val="center"/>
          </w:tcPr>
          <w:p w14:paraId="4C6CC3E1">
            <w:pPr>
              <w:widowControl/>
              <w:jc w:val="center"/>
              <w:rPr>
                <w:rFonts w:ascii="仿宋" w:hAnsi="仿宋" w:eastAsia="仿宋"/>
                <w:kern w:val="0"/>
                <w:sz w:val="24"/>
              </w:rPr>
            </w:pPr>
            <w:r>
              <w:rPr>
                <w:rFonts w:ascii="仿宋" w:hAnsi="仿宋" w:eastAsia="仿宋"/>
                <w:kern w:val="0"/>
                <w:sz w:val="24"/>
              </w:rPr>
              <w:t>M02300</w:t>
            </w:r>
          </w:p>
        </w:tc>
        <w:tc>
          <w:tcPr>
            <w:tcW w:w="3598" w:type="dxa"/>
            <w:tcBorders>
              <w:top w:val="nil"/>
              <w:left w:val="nil"/>
              <w:bottom w:val="single" w:color="auto" w:sz="4" w:space="0"/>
              <w:right w:val="single" w:color="auto" w:sz="4" w:space="0"/>
            </w:tcBorders>
            <w:shd w:val="clear" w:color="000000" w:fill="FFFFFF"/>
            <w:vAlign w:val="center"/>
          </w:tcPr>
          <w:p w14:paraId="27CB7895">
            <w:pPr>
              <w:widowControl/>
              <w:jc w:val="center"/>
              <w:rPr>
                <w:rFonts w:ascii="仿宋" w:hAnsi="仿宋" w:eastAsia="仿宋"/>
                <w:kern w:val="0"/>
                <w:sz w:val="24"/>
              </w:rPr>
            </w:pPr>
            <w:r>
              <w:rPr>
                <w:rFonts w:ascii="仿宋" w:hAnsi="仿宋" w:eastAsia="仿宋"/>
                <w:kern w:val="0"/>
                <w:sz w:val="24"/>
              </w:rPr>
              <w:t>帕金森病</w:t>
            </w:r>
          </w:p>
        </w:tc>
        <w:tc>
          <w:tcPr>
            <w:tcW w:w="1180" w:type="dxa"/>
            <w:tcBorders>
              <w:top w:val="nil"/>
              <w:left w:val="nil"/>
              <w:bottom w:val="single" w:color="auto" w:sz="4" w:space="0"/>
              <w:right w:val="single" w:color="auto" w:sz="4" w:space="0"/>
            </w:tcBorders>
            <w:vAlign w:val="center"/>
          </w:tcPr>
          <w:p w14:paraId="6E2AE190">
            <w:pPr>
              <w:widowControl/>
              <w:jc w:val="center"/>
              <w:rPr>
                <w:rFonts w:ascii="仿宋" w:hAnsi="仿宋" w:eastAsia="仿宋"/>
                <w:kern w:val="0"/>
                <w:sz w:val="24"/>
              </w:rPr>
            </w:pPr>
            <w:r>
              <w:rPr>
                <w:rFonts w:ascii="仿宋" w:hAnsi="仿宋" w:eastAsia="仿宋"/>
                <w:kern w:val="0"/>
                <w:sz w:val="24"/>
              </w:rPr>
              <w:t>85</w:t>
            </w:r>
          </w:p>
        </w:tc>
        <w:tc>
          <w:tcPr>
            <w:tcW w:w="1394" w:type="dxa"/>
            <w:tcBorders>
              <w:top w:val="nil"/>
              <w:left w:val="nil"/>
              <w:bottom w:val="single" w:color="auto" w:sz="4" w:space="0"/>
              <w:right w:val="single" w:color="auto" w:sz="4" w:space="0"/>
            </w:tcBorders>
            <w:vAlign w:val="center"/>
          </w:tcPr>
          <w:p w14:paraId="6354914B">
            <w:pPr>
              <w:widowControl/>
              <w:jc w:val="center"/>
              <w:rPr>
                <w:rFonts w:ascii="仿宋" w:hAnsi="仿宋" w:eastAsia="仿宋" w:cs="宋体"/>
                <w:kern w:val="0"/>
                <w:sz w:val="24"/>
              </w:rPr>
            </w:pPr>
            <w:r>
              <w:rPr>
                <w:rFonts w:hint="eastAsia" w:ascii="仿宋" w:hAnsi="仿宋" w:eastAsia="仿宋" w:cs="宋体"/>
                <w:kern w:val="0"/>
                <w:sz w:val="24"/>
              </w:rPr>
              <w:t>4000</w:t>
            </w:r>
          </w:p>
        </w:tc>
        <w:tc>
          <w:tcPr>
            <w:tcW w:w="1174" w:type="dxa"/>
            <w:tcBorders>
              <w:top w:val="nil"/>
              <w:left w:val="nil"/>
              <w:bottom w:val="single" w:color="auto" w:sz="4" w:space="0"/>
              <w:right w:val="single" w:color="auto" w:sz="4" w:space="0"/>
            </w:tcBorders>
            <w:vAlign w:val="center"/>
          </w:tcPr>
          <w:p w14:paraId="13B1EB68">
            <w:pPr>
              <w:widowControl/>
              <w:jc w:val="center"/>
              <w:rPr>
                <w:rFonts w:ascii="仿宋" w:hAnsi="仿宋" w:eastAsia="仿宋" w:cs="宋体"/>
                <w:kern w:val="0"/>
                <w:sz w:val="24"/>
              </w:rPr>
            </w:pPr>
            <w:r>
              <w:rPr>
                <w:rFonts w:hint="eastAsia" w:ascii="仿宋" w:hAnsi="仿宋" w:eastAsia="仿宋" w:cs="宋体"/>
                <w:kern w:val="0"/>
                <w:sz w:val="24"/>
              </w:rPr>
              <w:t>70</w:t>
            </w:r>
          </w:p>
        </w:tc>
        <w:tc>
          <w:tcPr>
            <w:tcW w:w="1560" w:type="dxa"/>
            <w:tcBorders>
              <w:top w:val="nil"/>
              <w:left w:val="nil"/>
              <w:bottom w:val="single" w:color="auto" w:sz="4" w:space="0"/>
              <w:right w:val="single" w:color="auto" w:sz="4" w:space="0"/>
            </w:tcBorders>
            <w:vAlign w:val="center"/>
          </w:tcPr>
          <w:p w14:paraId="05A3B7BB">
            <w:pPr>
              <w:widowControl/>
              <w:jc w:val="center"/>
              <w:rPr>
                <w:rFonts w:ascii="仿宋" w:hAnsi="仿宋" w:eastAsia="仿宋" w:cs="宋体"/>
                <w:kern w:val="0"/>
                <w:sz w:val="24"/>
              </w:rPr>
            </w:pPr>
            <w:r>
              <w:rPr>
                <w:rFonts w:hint="eastAsia" w:ascii="仿宋" w:hAnsi="仿宋" w:eastAsia="仿宋" w:cs="宋体"/>
                <w:kern w:val="0"/>
                <w:sz w:val="24"/>
              </w:rPr>
              <w:t>4000</w:t>
            </w:r>
          </w:p>
        </w:tc>
        <w:tc>
          <w:tcPr>
            <w:tcW w:w="1487" w:type="dxa"/>
            <w:tcBorders>
              <w:top w:val="nil"/>
              <w:left w:val="nil"/>
              <w:bottom w:val="single" w:color="auto" w:sz="4" w:space="0"/>
              <w:right w:val="single" w:color="auto" w:sz="4" w:space="0"/>
            </w:tcBorders>
            <w:vAlign w:val="center"/>
          </w:tcPr>
          <w:p w14:paraId="30D4F557">
            <w:pPr>
              <w:widowControl/>
              <w:jc w:val="center"/>
              <w:rPr>
                <w:rFonts w:ascii="仿宋" w:hAnsi="仿宋" w:eastAsia="仿宋" w:cs="宋体"/>
                <w:kern w:val="0"/>
                <w:sz w:val="24"/>
              </w:rPr>
            </w:pPr>
            <w:r>
              <w:rPr>
                <w:rFonts w:hint="eastAsia" w:ascii="仿宋" w:hAnsi="仿宋" w:eastAsia="仿宋" w:cs="宋体"/>
                <w:kern w:val="0"/>
                <w:sz w:val="24"/>
              </w:rPr>
              <w:t>5年</w:t>
            </w:r>
          </w:p>
        </w:tc>
      </w:tr>
      <w:tr w14:paraId="1604B6FE">
        <w:tblPrEx>
          <w:tblCellMar>
            <w:top w:w="0" w:type="dxa"/>
            <w:left w:w="0" w:type="dxa"/>
            <w:bottom w:w="0" w:type="dxa"/>
            <w:right w:w="0" w:type="dxa"/>
          </w:tblCellMar>
        </w:tblPrEx>
        <w:trPr>
          <w:trHeight w:val="465" w:hRule="atLeast"/>
          <w:jc w:val="right"/>
        </w:trPr>
        <w:tc>
          <w:tcPr>
            <w:tcW w:w="755" w:type="dxa"/>
            <w:tcBorders>
              <w:top w:val="nil"/>
              <w:left w:val="single" w:color="auto" w:sz="4" w:space="0"/>
              <w:bottom w:val="single" w:color="auto" w:sz="4" w:space="0"/>
              <w:right w:val="single" w:color="auto" w:sz="4" w:space="0"/>
            </w:tcBorders>
            <w:shd w:val="clear" w:color="auto" w:fill="auto"/>
            <w:vAlign w:val="center"/>
          </w:tcPr>
          <w:p w14:paraId="7F4F8EC3">
            <w:pPr>
              <w:widowControl/>
              <w:jc w:val="center"/>
              <w:rPr>
                <w:rFonts w:ascii="仿宋" w:hAnsi="仿宋" w:eastAsia="仿宋"/>
                <w:kern w:val="0"/>
                <w:sz w:val="24"/>
              </w:rPr>
            </w:pPr>
            <w:r>
              <w:rPr>
                <w:rFonts w:ascii="仿宋" w:hAnsi="仿宋" w:eastAsia="仿宋"/>
                <w:kern w:val="0"/>
                <w:sz w:val="24"/>
              </w:rPr>
              <w:t>17</w:t>
            </w:r>
          </w:p>
        </w:tc>
        <w:tc>
          <w:tcPr>
            <w:tcW w:w="822" w:type="dxa"/>
            <w:vMerge w:val="continue"/>
            <w:tcBorders>
              <w:left w:val="single" w:color="auto" w:sz="4" w:space="0"/>
              <w:right w:val="single" w:color="auto" w:sz="4" w:space="0"/>
            </w:tcBorders>
            <w:shd w:val="clear" w:color="auto" w:fill="auto"/>
            <w:vAlign w:val="center"/>
          </w:tcPr>
          <w:p w14:paraId="35D39F79">
            <w:pPr>
              <w:jc w:val="center"/>
              <w:rPr>
                <w:rFonts w:ascii="仿宋" w:hAnsi="仿宋" w:eastAsia="仿宋"/>
                <w:kern w:val="0"/>
                <w:sz w:val="24"/>
              </w:rPr>
            </w:pPr>
          </w:p>
        </w:tc>
        <w:tc>
          <w:tcPr>
            <w:tcW w:w="1386" w:type="dxa"/>
            <w:tcBorders>
              <w:top w:val="nil"/>
              <w:left w:val="nil"/>
              <w:bottom w:val="single" w:color="auto" w:sz="4" w:space="0"/>
              <w:right w:val="single" w:color="auto" w:sz="4" w:space="0"/>
            </w:tcBorders>
            <w:shd w:val="clear" w:color="000000" w:fill="FFFFFF"/>
            <w:vAlign w:val="center"/>
          </w:tcPr>
          <w:p w14:paraId="43EDE10C">
            <w:pPr>
              <w:widowControl/>
              <w:jc w:val="center"/>
              <w:rPr>
                <w:rFonts w:ascii="仿宋" w:hAnsi="仿宋" w:eastAsia="仿宋"/>
                <w:kern w:val="0"/>
                <w:sz w:val="24"/>
              </w:rPr>
            </w:pPr>
            <w:r>
              <w:rPr>
                <w:rFonts w:ascii="仿宋" w:hAnsi="仿宋" w:eastAsia="仿宋"/>
                <w:kern w:val="0"/>
                <w:sz w:val="24"/>
              </w:rPr>
              <w:t>M02101</w:t>
            </w:r>
          </w:p>
        </w:tc>
        <w:tc>
          <w:tcPr>
            <w:tcW w:w="3598" w:type="dxa"/>
            <w:tcBorders>
              <w:top w:val="nil"/>
              <w:left w:val="nil"/>
              <w:bottom w:val="single" w:color="auto" w:sz="4" w:space="0"/>
              <w:right w:val="single" w:color="auto" w:sz="4" w:space="0"/>
            </w:tcBorders>
            <w:shd w:val="clear" w:color="000000" w:fill="FFFFFF"/>
            <w:vAlign w:val="center"/>
          </w:tcPr>
          <w:p w14:paraId="0CF5BFCF">
            <w:pPr>
              <w:widowControl/>
              <w:jc w:val="center"/>
              <w:rPr>
                <w:rFonts w:ascii="仿宋" w:hAnsi="仿宋" w:eastAsia="仿宋"/>
                <w:kern w:val="0"/>
                <w:sz w:val="24"/>
              </w:rPr>
            </w:pPr>
            <w:r>
              <w:rPr>
                <w:rFonts w:ascii="仿宋" w:hAnsi="仿宋" w:eastAsia="仿宋"/>
                <w:kern w:val="0"/>
                <w:sz w:val="24"/>
              </w:rPr>
              <w:t>精神分裂症</w:t>
            </w:r>
          </w:p>
        </w:tc>
        <w:tc>
          <w:tcPr>
            <w:tcW w:w="1180" w:type="dxa"/>
            <w:tcBorders>
              <w:top w:val="nil"/>
              <w:left w:val="nil"/>
              <w:bottom w:val="single" w:color="auto" w:sz="4" w:space="0"/>
              <w:right w:val="single" w:color="auto" w:sz="4" w:space="0"/>
            </w:tcBorders>
            <w:vAlign w:val="center"/>
          </w:tcPr>
          <w:p w14:paraId="37574C94">
            <w:pPr>
              <w:widowControl/>
              <w:jc w:val="center"/>
              <w:rPr>
                <w:rFonts w:ascii="仿宋" w:hAnsi="仿宋" w:eastAsia="仿宋"/>
                <w:kern w:val="0"/>
                <w:sz w:val="24"/>
              </w:rPr>
            </w:pPr>
            <w:r>
              <w:rPr>
                <w:rFonts w:ascii="仿宋" w:hAnsi="仿宋" w:eastAsia="仿宋"/>
                <w:kern w:val="0"/>
                <w:sz w:val="24"/>
              </w:rPr>
              <w:t>85</w:t>
            </w:r>
          </w:p>
        </w:tc>
        <w:tc>
          <w:tcPr>
            <w:tcW w:w="1394" w:type="dxa"/>
            <w:tcBorders>
              <w:top w:val="nil"/>
              <w:left w:val="nil"/>
              <w:bottom w:val="single" w:color="auto" w:sz="4" w:space="0"/>
              <w:right w:val="single" w:color="auto" w:sz="4" w:space="0"/>
            </w:tcBorders>
            <w:vAlign w:val="center"/>
          </w:tcPr>
          <w:p w14:paraId="342D2AF1">
            <w:pPr>
              <w:widowControl/>
              <w:jc w:val="center"/>
              <w:rPr>
                <w:rFonts w:ascii="仿宋" w:hAnsi="仿宋" w:eastAsia="仿宋" w:cs="宋体"/>
                <w:kern w:val="0"/>
                <w:sz w:val="24"/>
              </w:rPr>
            </w:pPr>
            <w:r>
              <w:rPr>
                <w:rFonts w:hint="eastAsia" w:ascii="仿宋" w:hAnsi="仿宋" w:eastAsia="仿宋" w:cs="宋体"/>
                <w:kern w:val="0"/>
                <w:sz w:val="24"/>
              </w:rPr>
              <w:t>4000</w:t>
            </w:r>
          </w:p>
        </w:tc>
        <w:tc>
          <w:tcPr>
            <w:tcW w:w="1174" w:type="dxa"/>
            <w:tcBorders>
              <w:top w:val="nil"/>
              <w:left w:val="nil"/>
              <w:bottom w:val="single" w:color="auto" w:sz="4" w:space="0"/>
              <w:right w:val="single" w:color="auto" w:sz="4" w:space="0"/>
            </w:tcBorders>
            <w:vAlign w:val="center"/>
          </w:tcPr>
          <w:p w14:paraId="4F9B2194">
            <w:pPr>
              <w:widowControl/>
              <w:jc w:val="center"/>
              <w:rPr>
                <w:rFonts w:ascii="仿宋" w:hAnsi="仿宋" w:eastAsia="仿宋" w:cs="宋体"/>
                <w:kern w:val="0"/>
                <w:sz w:val="24"/>
              </w:rPr>
            </w:pPr>
            <w:r>
              <w:rPr>
                <w:rFonts w:hint="eastAsia" w:ascii="仿宋" w:hAnsi="仿宋" w:eastAsia="仿宋" w:cs="宋体"/>
                <w:kern w:val="0"/>
                <w:sz w:val="24"/>
              </w:rPr>
              <w:t>70</w:t>
            </w:r>
          </w:p>
        </w:tc>
        <w:tc>
          <w:tcPr>
            <w:tcW w:w="1560" w:type="dxa"/>
            <w:tcBorders>
              <w:top w:val="nil"/>
              <w:left w:val="nil"/>
              <w:bottom w:val="single" w:color="auto" w:sz="4" w:space="0"/>
              <w:right w:val="single" w:color="auto" w:sz="4" w:space="0"/>
            </w:tcBorders>
            <w:vAlign w:val="center"/>
          </w:tcPr>
          <w:p w14:paraId="31E1D2E0">
            <w:pPr>
              <w:widowControl/>
              <w:jc w:val="center"/>
              <w:rPr>
                <w:rFonts w:ascii="仿宋" w:hAnsi="仿宋" w:eastAsia="仿宋" w:cs="宋体"/>
                <w:kern w:val="0"/>
                <w:sz w:val="24"/>
              </w:rPr>
            </w:pPr>
            <w:r>
              <w:rPr>
                <w:rFonts w:hint="eastAsia" w:ascii="仿宋" w:hAnsi="仿宋" w:eastAsia="仿宋" w:cs="宋体"/>
                <w:kern w:val="0"/>
                <w:sz w:val="24"/>
              </w:rPr>
              <w:t>4000</w:t>
            </w:r>
          </w:p>
        </w:tc>
        <w:tc>
          <w:tcPr>
            <w:tcW w:w="1487" w:type="dxa"/>
            <w:tcBorders>
              <w:top w:val="nil"/>
              <w:left w:val="nil"/>
              <w:bottom w:val="single" w:color="auto" w:sz="4" w:space="0"/>
              <w:right w:val="single" w:color="auto" w:sz="4" w:space="0"/>
            </w:tcBorders>
            <w:vAlign w:val="center"/>
          </w:tcPr>
          <w:p w14:paraId="17768F66">
            <w:pPr>
              <w:widowControl/>
              <w:jc w:val="center"/>
              <w:rPr>
                <w:rFonts w:ascii="仿宋" w:hAnsi="仿宋" w:eastAsia="仿宋" w:cs="宋体"/>
                <w:kern w:val="0"/>
                <w:sz w:val="24"/>
              </w:rPr>
            </w:pPr>
            <w:r>
              <w:rPr>
                <w:rFonts w:hint="eastAsia" w:ascii="仿宋" w:hAnsi="仿宋" w:eastAsia="仿宋" w:cs="宋体"/>
                <w:kern w:val="0"/>
                <w:sz w:val="24"/>
              </w:rPr>
              <w:t>10年</w:t>
            </w:r>
          </w:p>
        </w:tc>
      </w:tr>
      <w:tr w14:paraId="0F38B9AE">
        <w:tblPrEx>
          <w:tblCellMar>
            <w:top w:w="0" w:type="dxa"/>
            <w:left w:w="0" w:type="dxa"/>
            <w:bottom w:w="0" w:type="dxa"/>
            <w:right w:w="0" w:type="dxa"/>
          </w:tblCellMar>
        </w:tblPrEx>
        <w:trPr>
          <w:trHeight w:val="465" w:hRule="atLeast"/>
          <w:jc w:val="right"/>
        </w:trPr>
        <w:tc>
          <w:tcPr>
            <w:tcW w:w="755" w:type="dxa"/>
            <w:tcBorders>
              <w:top w:val="nil"/>
              <w:left w:val="single" w:color="auto" w:sz="4" w:space="0"/>
              <w:bottom w:val="single" w:color="auto" w:sz="4" w:space="0"/>
              <w:right w:val="single" w:color="auto" w:sz="4" w:space="0"/>
            </w:tcBorders>
            <w:shd w:val="clear" w:color="auto" w:fill="auto"/>
            <w:vAlign w:val="center"/>
          </w:tcPr>
          <w:p w14:paraId="0FF9813A">
            <w:pPr>
              <w:widowControl/>
              <w:jc w:val="center"/>
              <w:rPr>
                <w:rFonts w:ascii="仿宋" w:hAnsi="仿宋" w:eastAsia="仿宋"/>
                <w:kern w:val="0"/>
                <w:sz w:val="24"/>
              </w:rPr>
            </w:pPr>
            <w:r>
              <w:rPr>
                <w:rFonts w:ascii="仿宋" w:hAnsi="仿宋" w:eastAsia="仿宋"/>
                <w:kern w:val="0"/>
                <w:sz w:val="24"/>
              </w:rPr>
              <w:t>18</w:t>
            </w:r>
          </w:p>
        </w:tc>
        <w:tc>
          <w:tcPr>
            <w:tcW w:w="822" w:type="dxa"/>
            <w:vMerge w:val="continue"/>
            <w:tcBorders>
              <w:left w:val="single" w:color="auto" w:sz="4" w:space="0"/>
              <w:right w:val="single" w:color="auto" w:sz="4" w:space="0"/>
            </w:tcBorders>
            <w:shd w:val="clear" w:color="auto" w:fill="auto"/>
            <w:vAlign w:val="center"/>
          </w:tcPr>
          <w:p w14:paraId="13A721AA">
            <w:pPr>
              <w:widowControl/>
              <w:jc w:val="center"/>
              <w:rPr>
                <w:rFonts w:ascii="仿宋" w:hAnsi="仿宋" w:eastAsia="仿宋"/>
                <w:kern w:val="0"/>
                <w:sz w:val="24"/>
              </w:rPr>
            </w:pPr>
          </w:p>
        </w:tc>
        <w:tc>
          <w:tcPr>
            <w:tcW w:w="1386" w:type="dxa"/>
            <w:tcBorders>
              <w:top w:val="nil"/>
              <w:left w:val="nil"/>
              <w:bottom w:val="single" w:color="auto" w:sz="4" w:space="0"/>
              <w:right w:val="single" w:color="auto" w:sz="4" w:space="0"/>
            </w:tcBorders>
            <w:shd w:val="clear" w:color="000000" w:fill="FFFFFF"/>
            <w:vAlign w:val="center"/>
          </w:tcPr>
          <w:p w14:paraId="3E94927C">
            <w:pPr>
              <w:widowControl/>
              <w:jc w:val="center"/>
              <w:rPr>
                <w:rFonts w:ascii="仿宋" w:hAnsi="仿宋" w:eastAsia="仿宋"/>
                <w:kern w:val="0"/>
                <w:sz w:val="24"/>
              </w:rPr>
            </w:pPr>
            <w:r>
              <w:rPr>
                <w:rFonts w:ascii="仿宋" w:hAnsi="仿宋" w:eastAsia="仿宋"/>
                <w:kern w:val="0"/>
                <w:sz w:val="24"/>
              </w:rPr>
              <w:t>M02103</w:t>
            </w:r>
          </w:p>
        </w:tc>
        <w:tc>
          <w:tcPr>
            <w:tcW w:w="3598" w:type="dxa"/>
            <w:tcBorders>
              <w:top w:val="nil"/>
              <w:left w:val="nil"/>
              <w:bottom w:val="single" w:color="auto" w:sz="4" w:space="0"/>
              <w:right w:val="single" w:color="auto" w:sz="4" w:space="0"/>
            </w:tcBorders>
            <w:shd w:val="clear" w:color="000000" w:fill="FFFFFF"/>
            <w:vAlign w:val="center"/>
          </w:tcPr>
          <w:p w14:paraId="0FAD8F39">
            <w:pPr>
              <w:widowControl/>
              <w:jc w:val="center"/>
              <w:rPr>
                <w:rFonts w:ascii="仿宋" w:hAnsi="仿宋" w:eastAsia="仿宋"/>
                <w:kern w:val="0"/>
                <w:sz w:val="24"/>
              </w:rPr>
            </w:pPr>
            <w:r>
              <w:rPr>
                <w:rFonts w:ascii="仿宋" w:hAnsi="仿宋" w:eastAsia="仿宋"/>
                <w:kern w:val="0"/>
                <w:sz w:val="24"/>
              </w:rPr>
              <w:t>偏执性情感障碍</w:t>
            </w:r>
          </w:p>
        </w:tc>
        <w:tc>
          <w:tcPr>
            <w:tcW w:w="1180" w:type="dxa"/>
            <w:tcBorders>
              <w:top w:val="nil"/>
              <w:left w:val="nil"/>
              <w:bottom w:val="single" w:color="auto" w:sz="4" w:space="0"/>
              <w:right w:val="single" w:color="auto" w:sz="4" w:space="0"/>
            </w:tcBorders>
            <w:vAlign w:val="center"/>
          </w:tcPr>
          <w:p w14:paraId="2682A8FC">
            <w:pPr>
              <w:widowControl/>
              <w:jc w:val="center"/>
              <w:rPr>
                <w:rFonts w:ascii="仿宋" w:hAnsi="仿宋" w:eastAsia="仿宋"/>
                <w:kern w:val="0"/>
                <w:sz w:val="24"/>
              </w:rPr>
            </w:pPr>
            <w:r>
              <w:rPr>
                <w:rFonts w:ascii="仿宋" w:hAnsi="仿宋" w:eastAsia="仿宋"/>
                <w:kern w:val="0"/>
                <w:sz w:val="24"/>
              </w:rPr>
              <w:t>85</w:t>
            </w:r>
          </w:p>
        </w:tc>
        <w:tc>
          <w:tcPr>
            <w:tcW w:w="1394" w:type="dxa"/>
            <w:tcBorders>
              <w:top w:val="nil"/>
              <w:left w:val="nil"/>
              <w:bottom w:val="single" w:color="auto" w:sz="4" w:space="0"/>
              <w:right w:val="single" w:color="auto" w:sz="4" w:space="0"/>
            </w:tcBorders>
            <w:vAlign w:val="center"/>
          </w:tcPr>
          <w:p w14:paraId="0B76E397">
            <w:pPr>
              <w:widowControl/>
              <w:jc w:val="center"/>
              <w:rPr>
                <w:rFonts w:ascii="仿宋" w:hAnsi="仿宋" w:eastAsia="仿宋" w:cs="宋体"/>
                <w:kern w:val="0"/>
                <w:sz w:val="24"/>
              </w:rPr>
            </w:pPr>
            <w:r>
              <w:rPr>
                <w:rFonts w:hint="eastAsia" w:ascii="仿宋" w:hAnsi="仿宋" w:eastAsia="仿宋" w:cs="宋体"/>
                <w:kern w:val="0"/>
                <w:sz w:val="24"/>
              </w:rPr>
              <w:t>4000</w:t>
            </w:r>
          </w:p>
        </w:tc>
        <w:tc>
          <w:tcPr>
            <w:tcW w:w="1174" w:type="dxa"/>
            <w:tcBorders>
              <w:top w:val="nil"/>
              <w:left w:val="nil"/>
              <w:bottom w:val="single" w:color="auto" w:sz="4" w:space="0"/>
              <w:right w:val="single" w:color="auto" w:sz="4" w:space="0"/>
            </w:tcBorders>
            <w:vAlign w:val="center"/>
          </w:tcPr>
          <w:p w14:paraId="07BDCDBA">
            <w:pPr>
              <w:widowControl/>
              <w:jc w:val="center"/>
              <w:rPr>
                <w:rFonts w:ascii="仿宋" w:hAnsi="仿宋" w:eastAsia="仿宋" w:cs="宋体"/>
                <w:kern w:val="0"/>
                <w:sz w:val="24"/>
              </w:rPr>
            </w:pPr>
            <w:r>
              <w:rPr>
                <w:rFonts w:hint="eastAsia" w:ascii="仿宋" w:hAnsi="仿宋" w:eastAsia="仿宋" w:cs="宋体"/>
                <w:kern w:val="0"/>
                <w:sz w:val="24"/>
              </w:rPr>
              <w:t>70</w:t>
            </w:r>
          </w:p>
        </w:tc>
        <w:tc>
          <w:tcPr>
            <w:tcW w:w="1560" w:type="dxa"/>
            <w:tcBorders>
              <w:top w:val="nil"/>
              <w:left w:val="nil"/>
              <w:bottom w:val="single" w:color="auto" w:sz="4" w:space="0"/>
              <w:right w:val="single" w:color="auto" w:sz="4" w:space="0"/>
            </w:tcBorders>
            <w:vAlign w:val="center"/>
          </w:tcPr>
          <w:p w14:paraId="271A47F8">
            <w:pPr>
              <w:widowControl/>
              <w:jc w:val="center"/>
              <w:rPr>
                <w:rFonts w:ascii="仿宋" w:hAnsi="仿宋" w:eastAsia="仿宋" w:cs="宋体"/>
                <w:kern w:val="0"/>
                <w:sz w:val="24"/>
              </w:rPr>
            </w:pPr>
            <w:r>
              <w:rPr>
                <w:rFonts w:hint="eastAsia" w:ascii="仿宋" w:hAnsi="仿宋" w:eastAsia="仿宋" w:cs="宋体"/>
                <w:kern w:val="0"/>
                <w:sz w:val="24"/>
              </w:rPr>
              <w:t>4000</w:t>
            </w:r>
          </w:p>
        </w:tc>
        <w:tc>
          <w:tcPr>
            <w:tcW w:w="1487" w:type="dxa"/>
            <w:tcBorders>
              <w:top w:val="nil"/>
              <w:left w:val="nil"/>
              <w:bottom w:val="single" w:color="auto" w:sz="4" w:space="0"/>
              <w:right w:val="single" w:color="auto" w:sz="4" w:space="0"/>
            </w:tcBorders>
            <w:vAlign w:val="center"/>
          </w:tcPr>
          <w:p w14:paraId="4A8348A9">
            <w:pPr>
              <w:widowControl/>
              <w:jc w:val="center"/>
              <w:rPr>
                <w:rFonts w:ascii="仿宋" w:hAnsi="仿宋" w:eastAsia="仿宋" w:cs="宋体"/>
                <w:kern w:val="0"/>
                <w:sz w:val="24"/>
              </w:rPr>
            </w:pPr>
            <w:r>
              <w:rPr>
                <w:rFonts w:hint="eastAsia" w:ascii="仿宋" w:hAnsi="仿宋" w:eastAsia="仿宋" w:cs="宋体"/>
                <w:kern w:val="0"/>
                <w:sz w:val="24"/>
              </w:rPr>
              <w:t>10年</w:t>
            </w:r>
          </w:p>
        </w:tc>
      </w:tr>
      <w:tr w14:paraId="6103081E">
        <w:tblPrEx>
          <w:tblCellMar>
            <w:top w:w="0" w:type="dxa"/>
            <w:left w:w="0" w:type="dxa"/>
            <w:bottom w:w="0" w:type="dxa"/>
            <w:right w:w="0" w:type="dxa"/>
          </w:tblCellMar>
        </w:tblPrEx>
        <w:trPr>
          <w:trHeight w:val="465" w:hRule="atLeast"/>
          <w:jc w:val="right"/>
        </w:trPr>
        <w:tc>
          <w:tcPr>
            <w:tcW w:w="755" w:type="dxa"/>
            <w:tcBorders>
              <w:top w:val="nil"/>
              <w:left w:val="single" w:color="auto" w:sz="4" w:space="0"/>
              <w:bottom w:val="single" w:color="auto" w:sz="4" w:space="0"/>
              <w:right w:val="single" w:color="auto" w:sz="4" w:space="0"/>
            </w:tcBorders>
            <w:shd w:val="clear" w:color="auto" w:fill="auto"/>
            <w:vAlign w:val="center"/>
          </w:tcPr>
          <w:p w14:paraId="4DC33F60">
            <w:pPr>
              <w:widowControl/>
              <w:jc w:val="center"/>
              <w:rPr>
                <w:rFonts w:ascii="仿宋" w:hAnsi="仿宋" w:eastAsia="仿宋"/>
                <w:kern w:val="0"/>
                <w:sz w:val="24"/>
              </w:rPr>
            </w:pPr>
            <w:r>
              <w:rPr>
                <w:rFonts w:ascii="仿宋" w:hAnsi="仿宋" w:eastAsia="仿宋"/>
                <w:kern w:val="0"/>
                <w:sz w:val="24"/>
              </w:rPr>
              <w:t>19</w:t>
            </w:r>
          </w:p>
        </w:tc>
        <w:tc>
          <w:tcPr>
            <w:tcW w:w="822" w:type="dxa"/>
            <w:vMerge w:val="continue"/>
            <w:tcBorders>
              <w:left w:val="single" w:color="auto" w:sz="4" w:space="0"/>
              <w:right w:val="single" w:color="auto" w:sz="4" w:space="0"/>
            </w:tcBorders>
            <w:shd w:val="clear" w:color="auto" w:fill="auto"/>
            <w:vAlign w:val="center"/>
          </w:tcPr>
          <w:p w14:paraId="37A8AFE5">
            <w:pPr>
              <w:widowControl/>
              <w:jc w:val="left"/>
              <w:rPr>
                <w:rFonts w:ascii="仿宋" w:hAnsi="仿宋" w:eastAsia="仿宋"/>
                <w:kern w:val="0"/>
                <w:sz w:val="24"/>
              </w:rPr>
            </w:pPr>
          </w:p>
        </w:tc>
        <w:tc>
          <w:tcPr>
            <w:tcW w:w="1386" w:type="dxa"/>
            <w:tcBorders>
              <w:top w:val="nil"/>
              <w:left w:val="nil"/>
              <w:bottom w:val="single" w:color="auto" w:sz="4" w:space="0"/>
              <w:right w:val="single" w:color="auto" w:sz="4" w:space="0"/>
            </w:tcBorders>
            <w:shd w:val="clear" w:color="000000" w:fill="FFFFFF"/>
            <w:vAlign w:val="center"/>
          </w:tcPr>
          <w:p w14:paraId="3D0B9057">
            <w:pPr>
              <w:widowControl/>
              <w:jc w:val="center"/>
              <w:rPr>
                <w:rFonts w:ascii="仿宋" w:hAnsi="仿宋" w:eastAsia="仿宋"/>
                <w:kern w:val="0"/>
                <w:sz w:val="24"/>
              </w:rPr>
            </w:pPr>
            <w:r>
              <w:rPr>
                <w:rFonts w:ascii="仿宋" w:hAnsi="仿宋" w:eastAsia="仿宋"/>
                <w:kern w:val="0"/>
                <w:sz w:val="24"/>
              </w:rPr>
              <w:t>M02105</w:t>
            </w:r>
          </w:p>
        </w:tc>
        <w:tc>
          <w:tcPr>
            <w:tcW w:w="3598" w:type="dxa"/>
            <w:tcBorders>
              <w:top w:val="nil"/>
              <w:left w:val="nil"/>
              <w:bottom w:val="single" w:color="auto" w:sz="4" w:space="0"/>
              <w:right w:val="single" w:color="auto" w:sz="4" w:space="0"/>
            </w:tcBorders>
            <w:shd w:val="clear" w:color="000000" w:fill="FFFFFF"/>
            <w:vAlign w:val="center"/>
          </w:tcPr>
          <w:p w14:paraId="447E664D">
            <w:pPr>
              <w:widowControl/>
              <w:jc w:val="center"/>
              <w:rPr>
                <w:rFonts w:ascii="仿宋" w:hAnsi="仿宋" w:eastAsia="仿宋"/>
                <w:kern w:val="0"/>
                <w:sz w:val="24"/>
              </w:rPr>
            </w:pPr>
            <w:r>
              <w:rPr>
                <w:rFonts w:ascii="仿宋" w:hAnsi="仿宋" w:eastAsia="仿宋"/>
                <w:kern w:val="0"/>
                <w:sz w:val="24"/>
              </w:rPr>
              <w:t>癫痫性精神病</w:t>
            </w:r>
          </w:p>
        </w:tc>
        <w:tc>
          <w:tcPr>
            <w:tcW w:w="1180" w:type="dxa"/>
            <w:tcBorders>
              <w:top w:val="nil"/>
              <w:left w:val="nil"/>
              <w:bottom w:val="single" w:color="auto" w:sz="4" w:space="0"/>
              <w:right w:val="single" w:color="auto" w:sz="4" w:space="0"/>
            </w:tcBorders>
            <w:vAlign w:val="center"/>
          </w:tcPr>
          <w:p w14:paraId="121A039C">
            <w:pPr>
              <w:widowControl/>
              <w:jc w:val="center"/>
              <w:rPr>
                <w:rFonts w:ascii="仿宋" w:hAnsi="仿宋" w:eastAsia="仿宋"/>
                <w:kern w:val="0"/>
                <w:sz w:val="24"/>
              </w:rPr>
            </w:pPr>
            <w:r>
              <w:rPr>
                <w:rFonts w:ascii="仿宋" w:hAnsi="仿宋" w:eastAsia="仿宋"/>
                <w:kern w:val="0"/>
                <w:sz w:val="24"/>
              </w:rPr>
              <w:t>85</w:t>
            </w:r>
          </w:p>
        </w:tc>
        <w:tc>
          <w:tcPr>
            <w:tcW w:w="1394" w:type="dxa"/>
            <w:tcBorders>
              <w:top w:val="nil"/>
              <w:left w:val="nil"/>
              <w:bottom w:val="single" w:color="auto" w:sz="4" w:space="0"/>
              <w:right w:val="single" w:color="auto" w:sz="4" w:space="0"/>
            </w:tcBorders>
            <w:vAlign w:val="center"/>
          </w:tcPr>
          <w:p w14:paraId="79FA20BF">
            <w:pPr>
              <w:widowControl/>
              <w:jc w:val="center"/>
              <w:rPr>
                <w:rFonts w:ascii="仿宋" w:hAnsi="仿宋" w:eastAsia="仿宋" w:cs="宋体"/>
                <w:kern w:val="0"/>
                <w:sz w:val="24"/>
              </w:rPr>
            </w:pPr>
            <w:r>
              <w:rPr>
                <w:rFonts w:hint="eastAsia" w:ascii="仿宋" w:hAnsi="仿宋" w:eastAsia="仿宋" w:cs="宋体"/>
                <w:kern w:val="0"/>
                <w:sz w:val="24"/>
              </w:rPr>
              <w:t>4000</w:t>
            </w:r>
          </w:p>
        </w:tc>
        <w:tc>
          <w:tcPr>
            <w:tcW w:w="1174" w:type="dxa"/>
            <w:tcBorders>
              <w:top w:val="nil"/>
              <w:left w:val="nil"/>
              <w:bottom w:val="single" w:color="auto" w:sz="4" w:space="0"/>
              <w:right w:val="single" w:color="auto" w:sz="4" w:space="0"/>
            </w:tcBorders>
            <w:vAlign w:val="center"/>
          </w:tcPr>
          <w:p w14:paraId="07DADF7B">
            <w:pPr>
              <w:widowControl/>
              <w:jc w:val="center"/>
              <w:rPr>
                <w:rFonts w:ascii="仿宋" w:hAnsi="仿宋" w:eastAsia="仿宋" w:cs="宋体"/>
                <w:kern w:val="0"/>
                <w:sz w:val="24"/>
              </w:rPr>
            </w:pPr>
            <w:r>
              <w:rPr>
                <w:rFonts w:hint="eastAsia" w:ascii="仿宋" w:hAnsi="仿宋" w:eastAsia="仿宋" w:cs="宋体"/>
                <w:kern w:val="0"/>
                <w:sz w:val="24"/>
              </w:rPr>
              <w:t>70</w:t>
            </w:r>
          </w:p>
        </w:tc>
        <w:tc>
          <w:tcPr>
            <w:tcW w:w="1560" w:type="dxa"/>
            <w:tcBorders>
              <w:top w:val="nil"/>
              <w:left w:val="nil"/>
              <w:bottom w:val="single" w:color="auto" w:sz="4" w:space="0"/>
              <w:right w:val="single" w:color="auto" w:sz="4" w:space="0"/>
            </w:tcBorders>
            <w:vAlign w:val="center"/>
          </w:tcPr>
          <w:p w14:paraId="69145164">
            <w:pPr>
              <w:widowControl/>
              <w:jc w:val="center"/>
              <w:rPr>
                <w:rFonts w:ascii="仿宋" w:hAnsi="仿宋" w:eastAsia="仿宋" w:cs="宋体"/>
                <w:kern w:val="0"/>
                <w:sz w:val="24"/>
              </w:rPr>
            </w:pPr>
            <w:r>
              <w:rPr>
                <w:rFonts w:hint="eastAsia" w:ascii="仿宋" w:hAnsi="仿宋" w:eastAsia="仿宋" w:cs="宋体"/>
                <w:kern w:val="0"/>
                <w:sz w:val="24"/>
              </w:rPr>
              <w:t>4000</w:t>
            </w:r>
          </w:p>
        </w:tc>
        <w:tc>
          <w:tcPr>
            <w:tcW w:w="1487" w:type="dxa"/>
            <w:tcBorders>
              <w:top w:val="nil"/>
              <w:left w:val="nil"/>
              <w:bottom w:val="single" w:color="auto" w:sz="4" w:space="0"/>
              <w:right w:val="single" w:color="auto" w:sz="4" w:space="0"/>
            </w:tcBorders>
            <w:vAlign w:val="center"/>
          </w:tcPr>
          <w:p w14:paraId="311ECC06">
            <w:pPr>
              <w:widowControl/>
              <w:jc w:val="center"/>
              <w:rPr>
                <w:rFonts w:ascii="仿宋" w:hAnsi="仿宋" w:eastAsia="仿宋" w:cs="宋体"/>
                <w:kern w:val="0"/>
                <w:sz w:val="24"/>
              </w:rPr>
            </w:pPr>
            <w:r>
              <w:rPr>
                <w:rFonts w:hint="eastAsia" w:ascii="仿宋" w:hAnsi="仿宋" w:eastAsia="仿宋" w:cs="宋体"/>
                <w:kern w:val="0"/>
                <w:sz w:val="24"/>
              </w:rPr>
              <w:t>10年</w:t>
            </w:r>
          </w:p>
        </w:tc>
      </w:tr>
      <w:tr w14:paraId="79B095DC">
        <w:tblPrEx>
          <w:tblCellMar>
            <w:top w:w="0" w:type="dxa"/>
            <w:left w:w="0" w:type="dxa"/>
            <w:bottom w:w="0" w:type="dxa"/>
            <w:right w:w="0" w:type="dxa"/>
          </w:tblCellMar>
        </w:tblPrEx>
        <w:trPr>
          <w:trHeight w:val="465" w:hRule="atLeast"/>
          <w:jc w:val="right"/>
        </w:trPr>
        <w:tc>
          <w:tcPr>
            <w:tcW w:w="755" w:type="dxa"/>
            <w:tcBorders>
              <w:top w:val="nil"/>
              <w:left w:val="single" w:color="auto" w:sz="4" w:space="0"/>
              <w:bottom w:val="single" w:color="auto" w:sz="4" w:space="0"/>
              <w:right w:val="single" w:color="auto" w:sz="4" w:space="0"/>
            </w:tcBorders>
            <w:shd w:val="clear" w:color="auto" w:fill="auto"/>
            <w:vAlign w:val="center"/>
          </w:tcPr>
          <w:p w14:paraId="0ECC32E9">
            <w:pPr>
              <w:widowControl/>
              <w:jc w:val="center"/>
              <w:rPr>
                <w:rFonts w:ascii="仿宋" w:hAnsi="仿宋" w:eastAsia="仿宋"/>
                <w:kern w:val="0"/>
                <w:sz w:val="24"/>
              </w:rPr>
            </w:pPr>
            <w:r>
              <w:rPr>
                <w:rFonts w:ascii="仿宋" w:hAnsi="仿宋" w:eastAsia="仿宋"/>
                <w:kern w:val="0"/>
                <w:sz w:val="24"/>
              </w:rPr>
              <w:t>20</w:t>
            </w:r>
          </w:p>
        </w:tc>
        <w:tc>
          <w:tcPr>
            <w:tcW w:w="822" w:type="dxa"/>
            <w:vMerge w:val="continue"/>
            <w:tcBorders>
              <w:left w:val="single" w:color="auto" w:sz="4" w:space="0"/>
              <w:right w:val="single" w:color="auto" w:sz="4" w:space="0"/>
            </w:tcBorders>
            <w:shd w:val="clear" w:color="auto" w:fill="auto"/>
            <w:vAlign w:val="center"/>
          </w:tcPr>
          <w:p w14:paraId="0347801A">
            <w:pPr>
              <w:widowControl/>
              <w:jc w:val="left"/>
              <w:rPr>
                <w:rFonts w:ascii="仿宋" w:hAnsi="仿宋" w:eastAsia="仿宋"/>
                <w:kern w:val="0"/>
                <w:sz w:val="24"/>
              </w:rPr>
            </w:pPr>
          </w:p>
        </w:tc>
        <w:tc>
          <w:tcPr>
            <w:tcW w:w="1386" w:type="dxa"/>
            <w:tcBorders>
              <w:top w:val="nil"/>
              <w:left w:val="nil"/>
              <w:bottom w:val="single" w:color="auto" w:sz="4" w:space="0"/>
              <w:right w:val="single" w:color="auto" w:sz="4" w:space="0"/>
            </w:tcBorders>
            <w:shd w:val="clear" w:color="000000" w:fill="FFFFFF"/>
            <w:vAlign w:val="center"/>
          </w:tcPr>
          <w:p w14:paraId="559FF0C2">
            <w:pPr>
              <w:widowControl/>
              <w:jc w:val="center"/>
              <w:rPr>
                <w:rFonts w:ascii="仿宋" w:hAnsi="仿宋" w:eastAsia="仿宋"/>
                <w:kern w:val="0"/>
                <w:sz w:val="24"/>
              </w:rPr>
            </w:pPr>
            <w:r>
              <w:rPr>
                <w:rFonts w:ascii="仿宋" w:hAnsi="仿宋" w:eastAsia="仿宋"/>
                <w:kern w:val="0"/>
                <w:sz w:val="24"/>
              </w:rPr>
              <w:t>M02102</w:t>
            </w:r>
          </w:p>
        </w:tc>
        <w:tc>
          <w:tcPr>
            <w:tcW w:w="3598" w:type="dxa"/>
            <w:tcBorders>
              <w:top w:val="nil"/>
              <w:left w:val="nil"/>
              <w:bottom w:val="single" w:color="auto" w:sz="4" w:space="0"/>
              <w:right w:val="single" w:color="auto" w:sz="4" w:space="0"/>
            </w:tcBorders>
            <w:shd w:val="clear" w:color="000000" w:fill="FFFFFF"/>
            <w:vAlign w:val="center"/>
          </w:tcPr>
          <w:p w14:paraId="79CDD8E7">
            <w:pPr>
              <w:widowControl/>
              <w:jc w:val="center"/>
              <w:rPr>
                <w:rFonts w:ascii="仿宋" w:hAnsi="仿宋" w:eastAsia="仿宋"/>
                <w:kern w:val="0"/>
                <w:sz w:val="24"/>
              </w:rPr>
            </w:pPr>
            <w:r>
              <w:rPr>
                <w:rFonts w:ascii="仿宋" w:hAnsi="仿宋" w:eastAsia="仿宋"/>
                <w:kern w:val="0"/>
                <w:sz w:val="24"/>
              </w:rPr>
              <w:t>双向障碍</w:t>
            </w:r>
          </w:p>
        </w:tc>
        <w:tc>
          <w:tcPr>
            <w:tcW w:w="1180" w:type="dxa"/>
            <w:tcBorders>
              <w:top w:val="nil"/>
              <w:left w:val="nil"/>
              <w:bottom w:val="single" w:color="auto" w:sz="4" w:space="0"/>
              <w:right w:val="single" w:color="auto" w:sz="4" w:space="0"/>
            </w:tcBorders>
            <w:vAlign w:val="center"/>
          </w:tcPr>
          <w:p w14:paraId="105A01F4">
            <w:pPr>
              <w:widowControl/>
              <w:jc w:val="center"/>
              <w:rPr>
                <w:rFonts w:ascii="仿宋" w:hAnsi="仿宋" w:eastAsia="仿宋"/>
                <w:kern w:val="0"/>
                <w:sz w:val="24"/>
              </w:rPr>
            </w:pPr>
            <w:r>
              <w:rPr>
                <w:rFonts w:ascii="仿宋" w:hAnsi="仿宋" w:eastAsia="仿宋"/>
                <w:kern w:val="0"/>
                <w:sz w:val="24"/>
              </w:rPr>
              <w:t>85</w:t>
            </w:r>
          </w:p>
        </w:tc>
        <w:tc>
          <w:tcPr>
            <w:tcW w:w="1394" w:type="dxa"/>
            <w:tcBorders>
              <w:top w:val="nil"/>
              <w:left w:val="nil"/>
              <w:bottom w:val="single" w:color="auto" w:sz="4" w:space="0"/>
              <w:right w:val="single" w:color="auto" w:sz="4" w:space="0"/>
            </w:tcBorders>
            <w:vAlign w:val="center"/>
          </w:tcPr>
          <w:p w14:paraId="156EDD3A">
            <w:pPr>
              <w:widowControl/>
              <w:jc w:val="center"/>
              <w:rPr>
                <w:rFonts w:ascii="仿宋" w:hAnsi="仿宋" w:eastAsia="仿宋" w:cs="宋体"/>
                <w:kern w:val="0"/>
                <w:sz w:val="24"/>
              </w:rPr>
            </w:pPr>
            <w:r>
              <w:rPr>
                <w:rFonts w:hint="eastAsia" w:ascii="仿宋" w:hAnsi="仿宋" w:eastAsia="仿宋" w:cs="宋体"/>
                <w:kern w:val="0"/>
                <w:sz w:val="24"/>
              </w:rPr>
              <w:t>4000</w:t>
            </w:r>
          </w:p>
        </w:tc>
        <w:tc>
          <w:tcPr>
            <w:tcW w:w="1174" w:type="dxa"/>
            <w:tcBorders>
              <w:top w:val="nil"/>
              <w:left w:val="nil"/>
              <w:bottom w:val="single" w:color="auto" w:sz="4" w:space="0"/>
              <w:right w:val="single" w:color="auto" w:sz="4" w:space="0"/>
            </w:tcBorders>
            <w:vAlign w:val="center"/>
          </w:tcPr>
          <w:p w14:paraId="0EF30340">
            <w:pPr>
              <w:widowControl/>
              <w:jc w:val="center"/>
              <w:rPr>
                <w:rFonts w:ascii="仿宋" w:hAnsi="仿宋" w:eastAsia="仿宋" w:cs="宋体"/>
                <w:kern w:val="0"/>
                <w:sz w:val="24"/>
              </w:rPr>
            </w:pPr>
            <w:r>
              <w:rPr>
                <w:rFonts w:hint="eastAsia" w:ascii="仿宋" w:hAnsi="仿宋" w:eastAsia="仿宋" w:cs="宋体"/>
                <w:kern w:val="0"/>
                <w:sz w:val="24"/>
              </w:rPr>
              <w:t>70</w:t>
            </w:r>
          </w:p>
        </w:tc>
        <w:tc>
          <w:tcPr>
            <w:tcW w:w="1560" w:type="dxa"/>
            <w:tcBorders>
              <w:top w:val="nil"/>
              <w:left w:val="nil"/>
              <w:bottom w:val="single" w:color="auto" w:sz="4" w:space="0"/>
              <w:right w:val="single" w:color="auto" w:sz="4" w:space="0"/>
            </w:tcBorders>
            <w:vAlign w:val="center"/>
          </w:tcPr>
          <w:p w14:paraId="51FAE294">
            <w:pPr>
              <w:widowControl/>
              <w:jc w:val="center"/>
              <w:rPr>
                <w:rFonts w:ascii="仿宋" w:hAnsi="仿宋" w:eastAsia="仿宋" w:cs="宋体"/>
                <w:kern w:val="0"/>
                <w:sz w:val="24"/>
              </w:rPr>
            </w:pPr>
            <w:r>
              <w:rPr>
                <w:rFonts w:hint="eastAsia" w:ascii="仿宋" w:hAnsi="仿宋" w:eastAsia="仿宋" w:cs="宋体"/>
                <w:kern w:val="0"/>
                <w:sz w:val="24"/>
              </w:rPr>
              <w:t>4000</w:t>
            </w:r>
          </w:p>
        </w:tc>
        <w:tc>
          <w:tcPr>
            <w:tcW w:w="1487" w:type="dxa"/>
            <w:tcBorders>
              <w:top w:val="nil"/>
              <w:left w:val="nil"/>
              <w:bottom w:val="single" w:color="auto" w:sz="4" w:space="0"/>
              <w:right w:val="single" w:color="auto" w:sz="4" w:space="0"/>
            </w:tcBorders>
            <w:vAlign w:val="center"/>
          </w:tcPr>
          <w:p w14:paraId="5548C7E7">
            <w:pPr>
              <w:widowControl/>
              <w:jc w:val="center"/>
              <w:rPr>
                <w:rFonts w:ascii="仿宋" w:hAnsi="仿宋" w:eastAsia="仿宋" w:cs="宋体"/>
                <w:kern w:val="0"/>
                <w:sz w:val="24"/>
              </w:rPr>
            </w:pPr>
            <w:r>
              <w:rPr>
                <w:rFonts w:hint="eastAsia" w:ascii="仿宋" w:hAnsi="仿宋" w:eastAsia="仿宋" w:cs="宋体"/>
                <w:kern w:val="0"/>
                <w:sz w:val="24"/>
              </w:rPr>
              <w:t>10年</w:t>
            </w:r>
          </w:p>
        </w:tc>
      </w:tr>
      <w:tr w14:paraId="345D98D4">
        <w:tblPrEx>
          <w:tblCellMar>
            <w:top w:w="0" w:type="dxa"/>
            <w:left w:w="0" w:type="dxa"/>
            <w:bottom w:w="0" w:type="dxa"/>
            <w:right w:w="0" w:type="dxa"/>
          </w:tblCellMar>
        </w:tblPrEx>
        <w:trPr>
          <w:trHeight w:val="465" w:hRule="atLeast"/>
          <w:jc w:val="right"/>
        </w:trPr>
        <w:tc>
          <w:tcPr>
            <w:tcW w:w="755" w:type="dxa"/>
            <w:tcBorders>
              <w:top w:val="nil"/>
              <w:left w:val="single" w:color="auto" w:sz="4" w:space="0"/>
              <w:bottom w:val="single" w:color="auto" w:sz="4" w:space="0"/>
              <w:right w:val="single" w:color="auto" w:sz="4" w:space="0"/>
            </w:tcBorders>
            <w:shd w:val="clear" w:color="auto" w:fill="auto"/>
            <w:vAlign w:val="center"/>
          </w:tcPr>
          <w:p w14:paraId="4153DA60">
            <w:pPr>
              <w:widowControl/>
              <w:jc w:val="center"/>
              <w:rPr>
                <w:rFonts w:ascii="仿宋" w:hAnsi="仿宋" w:eastAsia="仿宋"/>
                <w:kern w:val="0"/>
                <w:sz w:val="24"/>
              </w:rPr>
            </w:pPr>
            <w:r>
              <w:rPr>
                <w:rFonts w:ascii="仿宋" w:hAnsi="仿宋" w:eastAsia="仿宋"/>
                <w:kern w:val="0"/>
                <w:sz w:val="24"/>
              </w:rPr>
              <w:t>21</w:t>
            </w:r>
          </w:p>
        </w:tc>
        <w:tc>
          <w:tcPr>
            <w:tcW w:w="822" w:type="dxa"/>
            <w:vMerge w:val="continue"/>
            <w:tcBorders>
              <w:left w:val="single" w:color="auto" w:sz="4" w:space="0"/>
              <w:right w:val="single" w:color="auto" w:sz="4" w:space="0"/>
            </w:tcBorders>
            <w:shd w:val="clear" w:color="auto" w:fill="auto"/>
            <w:vAlign w:val="center"/>
          </w:tcPr>
          <w:p w14:paraId="2F8429FE">
            <w:pPr>
              <w:widowControl/>
              <w:jc w:val="left"/>
              <w:rPr>
                <w:rFonts w:ascii="仿宋" w:hAnsi="仿宋" w:eastAsia="仿宋"/>
                <w:kern w:val="0"/>
                <w:sz w:val="24"/>
              </w:rPr>
            </w:pPr>
          </w:p>
        </w:tc>
        <w:tc>
          <w:tcPr>
            <w:tcW w:w="1386" w:type="dxa"/>
            <w:tcBorders>
              <w:top w:val="nil"/>
              <w:left w:val="nil"/>
              <w:bottom w:val="single" w:color="auto" w:sz="4" w:space="0"/>
              <w:right w:val="single" w:color="auto" w:sz="4" w:space="0"/>
            </w:tcBorders>
            <w:shd w:val="clear" w:color="000000" w:fill="FFFFFF"/>
            <w:vAlign w:val="center"/>
          </w:tcPr>
          <w:p w14:paraId="212FA69B">
            <w:pPr>
              <w:widowControl/>
              <w:jc w:val="center"/>
              <w:rPr>
                <w:rFonts w:ascii="仿宋" w:hAnsi="仿宋" w:eastAsia="仿宋"/>
                <w:kern w:val="0"/>
                <w:sz w:val="24"/>
              </w:rPr>
            </w:pPr>
            <w:r>
              <w:rPr>
                <w:rFonts w:ascii="仿宋" w:hAnsi="仿宋" w:eastAsia="仿宋"/>
                <w:kern w:val="0"/>
                <w:sz w:val="24"/>
              </w:rPr>
              <w:t>M02104</w:t>
            </w:r>
          </w:p>
        </w:tc>
        <w:tc>
          <w:tcPr>
            <w:tcW w:w="3598" w:type="dxa"/>
            <w:tcBorders>
              <w:top w:val="nil"/>
              <w:left w:val="nil"/>
              <w:bottom w:val="single" w:color="auto" w:sz="4" w:space="0"/>
              <w:right w:val="single" w:color="auto" w:sz="4" w:space="0"/>
            </w:tcBorders>
            <w:shd w:val="clear" w:color="000000" w:fill="FFFFFF"/>
            <w:vAlign w:val="center"/>
          </w:tcPr>
          <w:p w14:paraId="090869D0">
            <w:pPr>
              <w:widowControl/>
              <w:jc w:val="center"/>
              <w:rPr>
                <w:rFonts w:ascii="仿宋" w:hAnsi="仿宋" w:eastAsia="仿宋"/>
                <w:kern w:val="0"/>
                <w:sz w:val="24"/>
              </w:rPr>
            </w:pPr>
            <w:r>
              <w:rPr>
                <w:rFonts w:ascii="仿宋" w:hAnsi="仿宋" w:eastAsia="仿宋"/>
                <w:kern w:val="0"/>
                <w:sz w:val="24"/>
              </w:rPr>
              <w:t>分裂情感障碍</w:t>
            </w:r>
          </w:p>
        </w:tc>
        <w:tc>
          <w:tcPr>
            <w:tcW w:w="1180" w:type="dxa"/>
            <w:tcBorders>
              <w:top w:val="nil"/>
              <w:left w:val="nil"/>
              <w:bottom w:val="single" w:color="auto" w:sz="4" w:space="0"/>
              <w:right w:val="single" w:color="auto" w:sz="4" w:space="0"/>
            </w:tcBorders>
            <w:vAlign w:val="center"/>
          </w:tcPr>
          <w:p w14:paraId="14788290">
            <w:pPr>
              <w:widowControl/>
              <w:jc w:val="center"/>
              <w:rPr>
                <w:rFonts w:ascii="仿宋" w:hAnsi="仿宋" w:eastAsia="仿宋"/>
                <w:kern w:val="0"/>
                <w:sz w:val="24"/>
              </w:rPr>
            </w:pPr>
            <w:r>
              <w:rPr>
                <w:rFonts w:ascii="仿宋" w:hAnsi="仿宋" w:eastAsia="仿宋"/>
                <w:kern w:val="0"/>
                <w:sz w:val="24"/>
              </w:rPr>
              <w:t>85</w:t>
            </w:r>
          </w:p>
        </w:tc>
        <w:tc>
          <w:tcPr>
            <w:tcW w:w="1394" w:type="dxa"/>
            <w:tcBorders>
              <w:top w:val="nil"/>
              <w:left w:val="nil"/>
              <w:bottom w:val="single" w:color="auto" w:sz="4" w:space="0"/>
              <w:right w:val="single" w:color="auto" w:sz="4" w:space="0"/>
            </w:tcBorders>
            <w:vAlign w:val="center"/>
          </w:tcPr>
          <w:p w14:paraId="4CDFB6DC">
            <w:pPr>
              <w:widowControl/>
              <w:jc w:val="center"/>
              <w:rPr>
                <w:rFonts w:ascii="仿宋" w:hAnsi="仿宋" w:eastAsia="仿宋" w:cs="宋体"/>
                <w:kern w:val="0"/>
                <w:sz w:val="24"/>
              </w:rPr>
            </w:pPr>
            <w:r>
              <w:rPr>
                <w:rFonts w:hint="eastAsia" w:ascii="仿宋" w:hAnsi="仿宋" w:eastAsia="仿宋" w:cs="宋体"/>
                <w:kern w:val="0"/>
                <w:sz w:val="24"/>
              </w:rPr>
              <w:t>4000</w:t>
            </w:r>
          </w:p>
        </w:tc>
        <w:tc>
          <w:tcPr>
            <w:tcW w:w="1174" w:type="dxa"/>
            <w:tcBorders>
              <w:top w:val="nil"/>
              <w:left w:val="nil"/>
              <w:bottom w:val="single" w:color="auto" w:sz="4" w:space="0"/>
              <w:right w:val="single" w:color="auto" w:sz="4" w:space="0"/>
            </w:tcBorders>
            <w:vAlign w:val="center"/>
          </w:tcPr>
          <w:p w14:paraId="3C50CACF">
            <w:pPr>
              <w:widowControl/>
              <w:jc w:val="center"/>
              <w:rPr>
                <w:rFonts w:ascii="仿宋" w:hAnsi="仿宋" w:eastAsia="仿宋" w:cs="宋体"/>
                <w:kern w:val="0"/>
                <w:sz w:val="24"/>
              </w:rPr>
            </w:pPr>
            <w:r>
              <w:rPr>
                <w:rFonts w:hint="eastAsia" w:ascii="仿宋" w:hAnsi="仿宋" w:eastAsia="仿宋" w:cs="宋体"/>
                <w:kern w:val="0"/>
                <w:sz w:val="24"/>
              </w:rPr>
              <w:t>70</w:t>
            </w:r>
          </w:p>
        </w:tc>
        <w:tc>
          <w:tcPr>
            <w:tcW w:w="1560" w:type="dxa"/>
            <w:tcBorders>
              <w:top w:val="nil"/>
              <w:left w:val="nil"/>
              <w:bottom w:val="single" w:color="auto" w:sz="4" w:space="0"/>
              <w:right w:val="single" w:color="auto" w:sz="4" w:space="0"/>
            </w:tcBorders>
            <w:vAlign w:val="center"/>
          </w:tcPr>
          <w:p w14:paraId="0F80540A">
            <w:pPr>
              <w:widowControl/>
              <w:jc w:val="center"/>
              <w:rPr>
                <w:rFonts w:ascii="仿宋" w:hAnsi="仿宋" w:eastAsia="仿宋" w:cs="宋体"/>
                <w:kern w:val="0"/>
                <w:sz w:val="24"/>
              </w:rPr>
            </w:pPr>
            <w:r>
              <w:rPr>
                <w:rFonts w:hint="eastAsia" w:ascii="仿宋" w:hAnsi="仿宋" w:eastAsia="仿宋" w:cs="宋体"/>
                <w:kern w:val="0"/>
                <w:sz w:val="24"/>
              </w:rPr>
              <w:t>4000</w:t>
            </w:r>
          </w:p>
        </w:tc>
        <w:tc>
          <w:tcPr>
            <w:tcW w:w="1487" w:type="dxa"/>
            <w:tcBorders>
              <w:top w:val="nil"/>
              <w:left w:val="nil"/>
              <w:bottom w:val="single" w:color="auto" w:sz="4" w:space="0"/>
              <w:right w:val="single" w:color="auto" w:sz="4" w:space="0"/>
            </w:tcBorders>
            <w:vAlign w:val="center"/>
          </w:tcPr>
          <w:p w14:paraId="47C97301">
            <w:pPr>
              <w:widowControl/>
              <w:jc w:val="center"/>
              <w:rPr>
                <w:rFonts w:ascii="仿宋" w:hAnsi="仿宋" w:eastAsia="仿宋" w:cs="宋体"/>
                <w:kern w:val="0"/>
                <w:sz w:val="24"/>
              </w:rPr>
            </w:pPr>
            <w:r>
              <w:rPr>
                <w:rFonts w:hint="eastAsia" w:ascii="仿宋" w:hAnsi="仿宋" w:eastAsia="仿宋" w:cs="宋体"/>
                <w:kern w:val="0"/>
                <w:sz w:val="24"/>
              </w:rPr>
              <w:t>10年</w:t>
            </w:r>
          </w:p>
        </w:tc>
      </w:tr>
      <w:tr w14:paraId="45E52CFA">
        <w:tblPrEx>
          <w:tblCellMar>
            <w:top w:w="0" w:type="dxa"/>
            <w:left w:w="0" w:type="dxa"/>
            <w:bottom w:w="0" w:type="dxa"/>
            <w:right w:w="0" w:type="dxa"/>
          </w:tblCellMar>
        </w:tblPrEx>
        <w:trPr>
          <w:trHeight w:val="465" w:hRule="atLeast"/>
          <w:jc w:val="right"/>
        </w:trPr>
        <w:tc>
          <w:tcPr>
            <w:tcW w:w="755" w:type="dxa"/>
            <w:tcBorders>
              <w:top w:val="nil"/>
              <w:left w:val="single" w:color="auto" w:sz="4" w:space="0"/>
              <w:bottom w:val="single" w:color="auto" w:sz="4" w:space="0"/>
              <w:right w:val="single" w:color="auto" w:sz="4" w:space="0"/>
            </w:tcBorders>
            <w:shd w:val="clear" w:color="auto" w:fill="auto"/>
            <w:vAlign w:val="center"/>
          </w:tcPr>
          <w:p w14:paraId="0F610ABC">
            <w:pPr>
              <w:widowControl/>
              <w:jc w:val="center"/>
              <w:rPr>
                <w:rFonts w:ascii="仿宋" w:hAnsi="仿宋" w:eastAsia="仿宋"/>
                <w:kern w:val="0"/>
                <w:sz w:val="24"/>
              </w:rPr>
            </w:pPr>
            <w:r>
              <w:rPr>
                <w:rFonts w:ascii="仿宋" w:hAnsi="仿宋" w:eastAsia="仿宋"/>
                <w:kern w:val="0"/>
                <w:sz w:val="24"/>
              </w:rPr>
              <w:t>22</w:t>
            </w:r>
          </w:p>
        </w:tc>
        <w:tc>
          <w:tcPr>
            <w:tcW w:w="822" w:type="dxa"/>
            <w:vMerge w:val="continue"/>
            <w:tcBorders>
              <w:left w:val="single" w:color="auto" w:sz="4" w:space="0"/>
              <w:right w:val="single" w:color="auto" w:sz="4" w:space="0"/>
            </w:tcBorders>
            <w:shd w:val="clear" w:color="auto" w:fill="auto"/>
            <w:vAlign w:val="center"/>
          </w:tcPr>
          <w:p w14:paraId="0005EE2A">
            <w:pPr>
              <w:widowControl/>
              <w:jc w:val="left"/>
              <w:rPr>
                <w:rFonts w:ascii="仿宋" w:hAnsi="仿宋" w:eastAsia="仿宋"/>
                <w:kern w:val="0"/>
                <w:sz w:val="24"/>
              </w:rPr>
            </w:pPr>
          </w:p>
        </w:tc>
        <w:tc>
          <w:tcPr>
            <w:tcW w:w="1386" w:type="dxa"/>
            <w:tcBorders>
              <w:top w:val="nil"/>
              <w:left w:val="nil"/>
              <w:bottom w:val="single" w:color="auto" w:sz="4" w:space="0"/>
              <w:right w:val="single" w:color="auto" w:sz="4" w:space="0"/>
            </w:tcBorders>
            <w:shd w:val="clear" w:color="000000" w:fill="FFFFFF"/>
            <w:vAlign w:val="center"/>
          </w:tcPr>
          <w:p w14:paraId="4A3659B1">
            <w:pPr>
              <w:widowControl/>
              <w:jc w:val="center"/>
              <w:rPr>
                <w:rFonts w:ascii="仿宋" w:hAnsi="仿宋" w:eastAsia="仿宋"/>
                <w:kern w:val="0"/>
                <w:sz w:val="24"/>
              </w:rPr>
            </w:pPr>
            <w:r>
              <w:rPr>
                <w:rFonts w:ascii="仿宋" w:hAnsi="仿宋" w:eastAsia="仿宋"/>
                <w:kern w:val="0"/>
                <w:sz w:val="24"/>
              </w:rPr>
              <w:t>M02106</w:t>
            </w:r>
          </w:p>
        </w:tc>
        <w:tc>
          <w:tcPr>
            <w:tcW w:w="3598" w:type="dxa"/>
            <w:tcBorders>
              <w:top w:val="nil"/>
              <w:left w:val="nil"/>
              <w:bottom w:val="single" w:color="auto" w:sz="4" w:space="0"/>
              <w:right w:val="single" w:color="auto" w:sz="4" w:space="0"/>
            </w:tcBorders>
            <w:shd w:val="clear" w:color="000000" w:fill="FFFFFF"/>
            <w:vAlign w:val="center"/>
          </w:tcPr>
          <w:p w14:paraId="66724F08">
            <w:pPr>
              <w:widowControl/>
              <w:jc w:val="center"/>
              <w:rPr>
                <w:rFonts w:ascii="仿宋" w:hAnsi="仿宋" w:eastAsia="仿宋"/>
                <w:kern w:val="0"/>
                <w:sz w:val="24"/>
              </w:rPr>
            </w:pPr>
            <w:r>
              <w:rPr>
                <w:rFonts w:ascii="仿宋" w:hAnsi="仿宋" w:eastAsia="仿宋"/>
                <w:kern w:val="0"/>
                <w:sz w:val="24"/>
              </w:rPr>
              <w:t>精神发育迟滞所致精神障碍</w:t>
            </w:r>
          </w:p>
        </w:tc>
        <w:tc>
          <w:tcPr>
            <w:tcW w:w="1180" w:type="dxa"/>
            <w:tcBorders>
              <w:top w:val="nil"/>
              <w:left w:val="nil"/>
              <w:bottom w:val="single" w:color="auto" w:sz="4" w:space="0"/>
              <w:right w:val="single" w:color="auto" w:sz="4" w:space="0"/>
            </w:tcBorders>
            <w:vAlign w:val="center"/>
          </w:tcPr>
          <w:p w14:paraId="105624DD">
            <w:pPr>
              <w:widowControl/>
              <w:jc w:val="center"/>
              <w:rPr>
                <w:rFonts w:ascii="仿宋" w:hAnsi="仿宋" w:eastAsia="仿宋"/>
                <w:kern w:val="0"/>
                <w:sz w:val="24"/>
              </w:rPr>
            </w:pPr>
            <w:r>
              <w:rPr>
                <w:rFonts w:ascii="仿宋" w:hAnsi="仿宋" w:eastAsia="仿宋"/>
                <w:kern w:val="0"/>
                <w:sz w:val="24"/>
              </w:rPr>
              <w:t>85</w:t>
            </w:r>
          </w:p>
        </w:tc>
        <w:tc>
          <w:tcPr>
            <w:tcW w:w="1394" w:type="dxa"/>
            <w:tcBorders>
              <w:top w:val="nil"/>
              <w:left w:val="nil"/>
              <w:bottom w:val="single" w:color="auto" w:sz="4" w:space="0"/>
              <w:right w:val="single" w:color="auto" w:sz="4" w:space="0"/>
            </w:tcBorders>
            <w:vAlign w:val="center"/>
          </w:tcPr>
          <w:p w14:paraId="46444588">
            <w:pPr>
              <w:widowControl/>
              <w:jc w:val="center"/>
              <w:rPr>
                <w:rFonts w:ascii="仿宋" w:hAnsi="仿宋" w:eastAsia="仿宋" w:cs="宋体"/>
                <w:kern w:val="0"/>
                <w:sz w:val="24"/>
              </w:rPr>
            </w:pPr>
            <w:r>
              <w:rPr>
                <w:rFonts w:hint="eastAsia" w:ascii="仿宋" w:hAnsi="仿宋" w:eastAsia="仿宋" w:cs="宋体"/>
                <w:kern w:val="0"/>
                <w:sz w:val="24"/>
              </w:rPr>
              <w:t>4000</w:t>
            </w:r>
          </w:p>
        </w:tc>
        <w:tc>
          <w:tcPr>
            <w:tcW w:w="1174" w:type="dxa"/>
            <w:tcBorders>
              <w:top w:val="nil"/>
              <w:left w:val="nil"/>
              <w:bottom w:val="single" w:color="auto" w:sz="4" w:space="0"/>
              <w:right w:val="single" w:color="auto" w:sz="4" w:space="0"/>
            </w:tcBorders>
            <w:vAlign w:val="center"/>
          </w:tcPr>
          <w:p w14:paraId="03803F68">
            <w:pPr>
              <w:widowControl/>
              <w:jc w:val="center"/>
              <w:rPr>
                <w:rFonts w:ascii="仿宋" w:hAnsi="仿宋" w:eastAsia="仿宋" w:cs="宋体"/>
                <w:kern w:val="0"/>
                <w:sz w:val="24"/>
              </w:rPr>
            </w:pPr>
            <w:r>
              <w:rPr>
                <w:rFonts w:hint="eastAsia" w:ascii="仿宋" w:hAnsi="仿宋" w:eastAsia="仿宋" w:cs="宋体"/>
                <w:kern w:val="0"/>
                <w:sz w:val="24"/>
              </w:rPr>
              <w:t>70</w:t>
            </w:r>
          </w:p>
        </w:tc>
        <w:tc>
          <w:tcPr>
            <w:tcW w:w="1560" w:type="dxa"/>
            <w:tcBorders>
              <w:top w:val="nil"/>
              <w:left w:val="nil"/>
              <w:bottom w:val="single" w:color="auto" w:sz="4" w:space="0"/>
              <w:right w:val="single" w:color="auto" w:sz="4" w:space="0"/>
            </w:tcBorders>
            <w:vAlign w:val="center"/>
          </w:tcPr>
          <w:p w14:paraId="17ADA70D">
            <w:pPr>
              <w:widowControl/>
              <w:jc w:val="center"/>
              <w:rPr>
                <w:rFonts w:ascii="仿宋" w:hAnsi="仿宋" w:eastAsia="仿宋" w:cs="宋体"/>
                <w:kern w:val="0"/>
                <w:sz w:val="24"/>
              </w:rPr>
            </w:pPr>
            <w:r>
              <w:rPr>
                <w:rFonts w:hint="eastAsia" w:ascii="仿宋" w:hAnsi="仿宋" w:eastAsia="仿宋" w:cs="宋体"/>
                <w:kern w:val="0"/>
                <w:sz w:val="24"/>
              </w:rPr>
              <w:t>4000</w:t>
            </w:r>
          </w:p>
        </w:tc>
        <w:tc>
          <w:tcPr>
            <w:tcW w:w="1487" w:type="dxa"/>
            <w:tcBorders>
              <w:top w:val="nil"/>
              <w:left w:val="nil"/>
              <w:bottom w:val="single" w:color="auto" w:sz="4" w:space="0"/>
              <w:right w:val="single" w:color="auto" w:sz="4" w:space="0"/>
            </w:tcBorders>
            <w:vAlign w:val="center"/>
          </w:tcPr>
          <w:p w14:paraId="49198E7E">
            <w:pPr>
              <w:widowControl/>
              <w:jc w:val="center"/>
              <w:rPr>
                <w:rFonts w:ascii="仿宋" w:hAnsi="仿宋" w:eastAsia="仿宋" w:cs="宋体"/>
                <w:kern w:val="0"/>
                <w:sz w:val="24"/>
              </w:rPr>
            </w:pPr>
            <w:r>
              <w:rPr>
                <w:rFonts w:hint="eastAsia" w:ascii="仿宋" w:hAnsi="仿宋" w:eastAsia="仿宋" w:cs="宋体"/>
                <w:kern w:val="0"/>
                <w:sz w:val="24"/>
              </w:rPr>
              <w:t>10年</w:t>
            </w:r>
          </w:p>
        </w:tc>
      </w:tr>
      <w:tr w14:paraId="22899705">
        <w:tblPrEx>
          <w:tblCellMar>
            <w:top w:w="0" w:type="dxa"/>
            <w:left w:w="0" w:type="dxa"/>
            <w:bottom w:w="0" w:type="dxa"/>
            <w:right w:w="0" w:type="dxa"/>
          </w:tblCellMar>
        </w:tblPrEx>
        <w:trPr>
          <w:trHeight w:val="465" w:hRule="atLeast"/>
          <w:jc w:val="right"/>
        </w:trPr>
        <w:tc>
          <w:tcPr>
            <w:tcW w:w="755" w:type="dxa"/>
            <w:tcBorders>
              <w:top w:val="nil"/>
              <w:left w:val="single" w:color="auto" w:sz="4" w:space="0"/>
              <w:bottom w:val="single" w:color="auto" w:sz="4" w:space="0"/>
              <w:right w:val="single" w:color="auto" w:sz="4" w:space="0"/>
            </w:tcBorders>
            <w:shd w:val="clear" w:color="auto" w:fill="auto"/>
            <w:vAlign w:val="center"/>
          </w:tcPr>
          <w:p w14:paraId="77D3552B">
            <w:pPr>
              <w:widowControl/>
              <w:jc w:val="center"/>
              <w:rPr>
                <w:rFonts w:ascii="仿宋" w:hAnsi="仿宋" w:eastAsia="仿宋"/>
                <w:kern w:val="0"/>
                <w:sz w:val="24"/>
              </w:rPr>
            </w:pPr>
            <w:r>
              <w:rPr>
                <w:rFonts w:ascii="仿宋" w:hAnsi="仿宋" w:eastAsia="仿宋"/>
                <w:kern w:val="0"/>
                <w:sz w:val="24"/>
              </w:rPr>
              <w:t>23</w:t>
            </w:r>
          </w:p>
        </w:tc>
        <w:tc>
          <w:tcPr>
            <w:tcW w:w="822" w:type="dxa"/>
            <w:vMerge w:val="continue"/>
            <w:tcBorders>
              <w:left w:val="single" w:color="auto" w:sz="4" w:space="0"/>
              <w:right w:val="single" w:color="auto" w:sz="4" w:space="0"/>
            </w:tcBorders>
            <w:shd w:val="clear" w:color="auto" w:fill="auto"/>
            <w:vAlign w:val="center"/>
          </w:tcPr>
          <w:p w14:paraId="2449933F">
            <w:pPr>
              <w:widowControl/>
              <w:jc w:val="left"/>
              <w:rPr>
                <w:rFonts w:ascii="仿宋" w:hAnsi="仿宋" w:eastAsia="仿宋"/>
                <w:kern w:val="0"/>
                <w:sz w:val="24"/>
              </w:rPr>
            </w:pPr>
          </w:p>
        </w:tc>
        <w:tc>
          <w:tcPr>
            <w:tcW w:w="1386" w:type="dxa"/>
            <w:tcBorders>
              <w:top w:val="nil"/>
              <w:left w:val="nil"/>
              <w:bottom w:val="single" w:color="auto" w:sz="4" w:space="0"/>
              <w:right w:val="single" w:color="auto" w:sz="4" w:space="0"/>
            </w:tcBorders>
            <w:shd w:val="clear" w:color="000000" w:fill="FFFFFF"/>
            <w:vAlign w:val="center"/>
          </w:tcPr>
          <w:p w14:paraId="736CC3C9">
            <w:pPr>
              <w:widowControl/>
              <w:jc w:val="center"/>
              <w:rPr>
                <w:rFonts w:ascii="仿宋" w:hAnsi="仿宋" w:eastAsia="仿宋"/>
                <w:kern w:val="0"/>
                <w:sz w:val="24"/>
              </w:rPr>
            </w:pPr>
            <w:r>
              <w:rPr>
                <w:rFonts w:ascii="仿宋" w:hAnsi="仿宋" w:eastAsia="仿宋"/>
                <w:kern w:val="0"/>
                <w:sz w:val="24"/>
              </w:rPr>
              <w:t>M02207</w:t>
            </w:r>
          </w:p>
        </w:tc>
        <w:tc>
          <w:tcPr>
            <w:tcW w:w="3598" w:type="dxa"/>
            <w:tcBorders>
              <w:top w:val="nil"/>
              <w:left w:val="nil"/>
              <w:bottom w:val="single" w:color="auto" w:sz="4" w:space="0"/>
              <w:right w:val="single" w:color="auto" w:sz="4" w:space="0"/>
            </w:tcBorders>
            <w:shd w:val="clear" w:color="000000" w:fill="FFFFFF"/>
            <w:vAlign w:val="center"/>
          </w:tcPr>
          <w:p w14:paraId="6EA2F0F6">
            <w:pPr>
              <w:widowControl/>
              <w:jc w:val="center"/>
              <w:rPr>
                <w:rFonts w:ascii="仿宋" w:hAnsi="仿宋" w:eastAsia="仿宋"/>
                <w:kern w:val="0"/>
                <w:sz w:val="24"/>
              </w:rPr>
            </w:pPr>
            <w:r>
              <w:rPr>
                <w:rFonts w:ascii="仿宋" w:hAnsi="仿宋" w:eastAsia="仿宋"/>
                <w:kern w:val="0"/>
                <w:sz w:val="24"/>
              </w:rPr>
              <w:t>儿童孤独症</w:t>
            </w:r>
          </w:p>
        </w:tc>
        <w:tc>
          <w:tcPr>
            <w:tcW w:w="1180" w:type="dxa"/>
            <w:tcBorders>
              <w:top w:val="nil"/>
              <w:left w:val="nil"/>
              <w:bottom w:val="single" w:color="auto" w:sz="4" w:space="0"/>
              <w:right w:val="single" w:color="auto" w:sz="4" w:space="0"/>
            </w:tcBorders>
            <w:vAlign w:val="center"/>
          </w:tcPr>
          <w:p w14:paraId="25031990">
            <w:pPr>
              <w:widowControl/>
              <w:jc w:val="center"/>
              <w:rPr>
                <w:rFonts w:ascii="仿宋" w:hAnsi="仿宋" w:eastAsia="仿宋"/>
                <w:kern w:val="0"/>
                <w:sz w:val="24"/>
              </w:rPr>
            </w:pPr>
            <w:r>
              <w:rPr>
                <w:rFonts w:ascii="仿宋" w:hAnsi="仿宋" w:eastAsia="仿宋"/>
                <w:kern w:val="0"/>
                <w:sz w:val="24"/>
              </w:rPr>
              <w:t>-</w:t>
            </w:r>
          </w:p>
        </w:tc>
        <w:tc>
          <w:tcPr>
            <w:tcW w:w="1394" w:type="dxa"/>
            <w:tcBorders>
              <w:top w:val="nil"/>
              <w:left w:val="nil"/>
              <w:bottom w:val="single" w:color="auto" w:sz="4" w:space="0"/>
              <w:right w:val="single" w:color="auto" w:sz="4" w:space="0"/>
            </w:tcBorders>
            <w:vAlign w:val="center"/>
          </w:tcPr>
          <w:p w14:paraId="43A7630D">
            <w:pPr>
              <w:widowControl/>
              <w:jc w:val="center"/>
              <w:rPr>
                <w:rFonts w:ascii="仿宋" w:hAnsi="仿宋" w:eastAsia="仿宋" w:cs="宋体"/>
                <w:kern w:val="0"/>
                <w:sz w:val="24"/>
              </w:rPr>
            </w:pPr>
            <w:r>
              <w:rPr>
                <w:rFonts w:hint="eastAsia" w:ascii="仿宋" w:hAnsi="仿宋" w:eastAsia="仿宋" w:cs="宋体"/>
                <w:kern w:val="0"/>
                <w:sz w:val="24"/>
              </w:rPr>
              <w:t>-</w:t>
            </w:r>
          </w:p>
        </w:tc>
        <w:tc>
          <w:tcPr>
            <w:tcW w:w="1174" w:type="dxa"/>
            <w:tcBorders>
              <w:top w:val="nil"/>
              <w:left w:val="nil"/>
              <w:bottom w:val="single" w:color="auto" w:sz="4" w:space="0"/>
              <w:right w:val="single" w:color="auto" w:sz="4" w:space="0"/>
            </w:tcBorders>
            <w:vAlign w:val="center"/>
          </w:tcPr>
          <w:p w14:paraId="4488E9AB">
            <w:pPr>
              <w:widowControl/>
              <w:jc w:val="center"/>
              <w:rPr>
                <w:rFonts w:ascii="仿宋" w:hAnsi="仿宋" w:eastAsia="仿宋" w:cs="宋体"/>
                <w:kern w:val="0"/>
                <w:sz w:val="24"/>
              </w:rPr>
            </w:pPr>
            <w:r>
              <w:rPr>
                <w:rFonts w:hint="eastAsia" w:ascii="仿宋" w:hAnsi="仿宋" w:eastAsia="仿宋" w:cs="宋体"/>
                <w:kern w:val="0"/>
                <w:sz w:val="24"/>
              </w:rPr>
              <w:t>70</w:t>
            </w:r>
          </w:p>
        </w:tc>
        <w:tc>
          <w:tcPr>
            <w:tcW w:w="1560" w:type="dxa"/>
            <w:tcBorders>
              <w:top w:val="nil"/>
              <w:left w:val="nil"/>
              <w:bottom w:val="single" w:color="auto" w:sz="4" w:space="0"/>
              <w:right w:val="single" w:color="auto" w:sz="4" w:space="0"/>
            </w:tcBorders>
            <w:vAlign w:val="center"/>
          </w:tcPr>
          <w:p w14:paraId="15E352D8">
            <w:pPr>
              <w:widowControl/>
              <w:jc w:val="center"/>
              <w:rPr>
                <w:rFonts w:ascii="仿宋" w:hAnsi="仿宋" w:eastAsia="仿宋" w:cs="宋体"/>
                <w:kern w:val="0"/>
                <w:sz w:val="24"/>
              </w:rPr>
            </w:pPr>
            <w:r>
              <w:rPr>
                <w:rFonts w:hint="eastAsia" w:ascii="仿宋" w:hAnsi="仿宋" w:eastAsia="仿宋" w:cs="宋体"/>
                <w:kern w:val="0"/>
                <w:sz w:val="24"/>
              </w:rPr>
              <w:t>4000</w:t>
            </w:r>
          </w:p>
        </w:tc>
        <w:tc>
          <w:tcPr>
            <w:tcW w:w="1487" w:type="dxa"/>
            <w:tcBorders>
              <w:top w:val="nil"/>
              <w:left w:val="nil"/>
              <w:bottom w:val="single" w:color="auto" w:sz="4" w:space="0"/>
              <w:right w:val="single" w:color="auto" w:sz="4" w:space="0"/>
            </w:tcBorders>
            <w:vAlign w:val="center"/>
          </w:tcPr>
          <w:p w14:paraId="7CCE8837">
            <w:pPr>
              <w:widowControl/>
              <w:jc w:val="center"/>
              <w:rPr>
                <w:rFonts w:ascii="仿宋" w:hAnsi="仿宋" w:eastAsia="仿宋" w:cs="宋体"/>
                <w:kern w:val="0"/>
                <w:sz w:val="24"/>
              </w:rPr>
            </w:pPr>
            <w:r>
              <w:rPr>
                <w:rFonts w:hint="eastAsia" w:ascii="仿宋" w:hAnsi="仿宋" w:eastAsia="仿宋" w:cs="宋体"/>
                <w:kern w:val="0"/>
                <w:sz w:val="24"/>
              </w:rPr>
              <w:t>5年</w:t>
            </w:r>
          </w:p>
        </w:tc>
      </w:tr>
      <w:tr w14:paraId="78BA2702">
        <w:tblPrEx>
          <w:tblCellMar>
            <w:top w:w="0" w:type="dxa"/>
            <w:left w:w="0" w:type="dxa"/>
            <w:bottom w:w="0" w:type="dxa"/>
            <w:right w:w="0" w:type="dxa"/>
          </w:tblCellMar>
        </w:tblPrEx>
        <w:trPr>
          <w:trHeight w:val="465" w:hRule="atLeast"/>
          <w:jc w:val="right"/>
        </w:trPr>
        <w:tc>
          <w:tcPr>
            <w:tcW w:w="755" w:type="dxa"/>
            <w:tcBorders>
              <w:top w:val="nil"/>
              <w:left w:val="single" w:color="auto" w:sz="4" w:space="0"/>
              <w:bottom w:val="single" w:color="auto" w:sz="4" w:space="0"/>
              <w:right w:val="single" w:color="auto" w:sz="4" w:space="0"/>
            </w:tcBorders>
            <w:shd w:val="clear" w:color="auto" w:fill="auto"/>
            <w:vAlign w:val="center"/>
          </w:tcPr>
          <w:p w14:paraId="1AFD12FD">
            <w:pPr>
              <w:widowControl/>
              <w:jc w:val="center"/>
              <w:rPr>
                <w:rFonts w:ascii="仿宋" w:hAnsi="仿宋" w:eastAsia="仿宋"/>
                <w:kern w:val="0"/>
                <w:sz w:val="24"/>
              </w:rPr>
            </w:pPr>
            <w:r>
              <w:rPr>
                <w:rFonts w:ascii="仿宋" w:hAnsi="仿宋" w:eastAsia="仿宋"/>
                <w:kern w:val="0"/>
                <w:sz w:val="24"/>
              </w:rPr>
              <w:t>24</w:t>
            </w:r>
          </w:p>
        </w:tc>
        <w:tc>
          <w:tcPr>
            <w:tcW w:w="822" w:type="dxa"/>
            <w:vMerge w:val="continue"/>
            <w:tcBorders>
              <w:left w:val="single" w:color="auto" w:sz="4" w:space="0"/>
              <w:right w:val="single" w:color="auto" w:sz="4" w:space="0"/>
            </w:tcBorders>
            <w:shd w:val="clear" w:color="auto" w:fill="auto"/>
            <w:vAlign w:val="center"/>
          </w:tcPr>
          <w:p w14:paraId="64771A22">
            <w:pPr>
              <w:widowControl/>
              <w:jc w:val="left"/>
              <w:rPr>
                <w:rFonts w:ascii="仿宋" w:hAnsi="仿宋" w:eastAsia="仿宋"/>
                <w:kern w:val="0"/>
                <w:sz w:val="24"/>
              </w:rPr>
            </w:pPr>
          </w:p>
        </w:tc>
        <w:tc>
          <w:tcPr>
            <w:tcW w:w="1386" w:type="dxa"/>
            <w:tcBorders>
              <w:top w:val="nil"/>
              <w:left w:val="nil"/>
              <w:bottom w:val="single" w:color="auto" w:sz="4" w:space="0"/>
              <w:right w:val="single" w:color="auto" w:sz="4" w:space="0"/>
            </w:tcBorders>
            <w:shd w:val="clear" w:color="000000" w:fill="FFFFFF"/>
            <w:vAlign w:val="center"/>
          </w:tcPr>
          <w:p w14:paraId="5340882E">
            <w:pPr>
              <w:widowControl/>
              <w:jc w:val="center"/>
              <w:rPr>
                <w:rFonts w:ascii="仿宋" w:hAnsi="仿宋" w:eastAsia="仿宋"/>
                <w:kern w:val="0"/>
                <w:sz w:val="24"/>
              </w:rPr>
            </w:pPr>
            <w:r>
              <w:rPr>
                <w:rFonts w:ascii="仿宋" w:hAnsi="仿宋" w:eastAsia="仿宋"/>
                <w:kern w:val="0"/>
                <w:sz w:val="24"/>
              </w:rPr>
              <w:t>M02205</w:t>
            </w:r>
          </w:p>
        </w:tc>
        <w:tc>
          <w:tcPr>
            <w:tcW w:w="3598" w:type="dxa"/>
            <w:tcBorders>
              <w:top w:val="nil"/>
              <w:left w:val="nil"/>
              <w:bottom w:val="single" w:color="auto" w:sz="4" w:space="0"/>
              <w:right w:val="single" w:color="auto" w:sz="4" w:space="0"/>
            </w:tcBorders>
            <w:shd w:val="clear" w:color="000000" w:fill="FFFFFF"/>
            <w:vAlign w:val="center"/>
          </w:tcPr>
          <w:p w14:paraId="03F570D3">
            <w:pPr>
              <w:widowControl/>
              <w:jc w:val="center"/>
              <w:rPr>
                <w:rFonts w:ascii="仿宋" w:hAnsi="仿宋" w:eastAsia="仿宋"/>
                <w:kern w:val="0"/>
                <w:sz w:val="24"/>
              </w:rPr>
            </w:pPr>
            <w:r>
              <w:rPr>
                <w:rFonts w:ascii="仿宋" w:hAnsi="仿宋" w:eastAsia="仿宋"/>
                <w:kern w:val="0"/>
                <w:sz w:val="24"/>
              </w:rPr>
              <w:t>器质性精神病</w:t>
            </w:r>
          </w:p>
        </w:tc>
        <w:tc>
          <w:tcPr>
            <w:tcW w:w="1180" w:type="dxa"/>
            <w:tcBorders>
              <w:top w:val="nil"/>
              <w:left w:val="nil"/>
              <w:bottom w:val="single" w:color="auto" w:sz="4" w:space="0"/>
              <w:right w:val="single" w:color="auto" w:sz="4" w:space="0"/>
            </w:tcBorders>
            <w:vAlign w:val="center"/>
          </w:tcPr>
          <w:p w14:paraId="6F765883">
            <w:pPr>
              <w:widowControl/>
              <w:jc w:val="center"/>
              <w:rPr>
                <w:rFonts w:ascii="仿宋" w:hAnsi="仿宋" w:eastAsia="仿宋"/>
                <w:kern w:val="0"/>
                <w:sz w:val="24"/>
              </w:rPr>
            </w:pPr>
            <w:r>
              <w:rPr>
                <w:rFonts w:ascii="仿宋" w:hAnsi="仿宋" w:eastAsia="仿宋"/>
                <w:kern w:val="0"/>
                <w:sz w:val="24"/>
              </w:rPr>
              <w:t>85</w:t>
            </w:r>
          </w:p>
        </w:tc>
        <w:tc>
          <w:tcPr>
            <w:tcW w:w="1394" w:type="dxa"/>
            <w:tcBorders>
              <w:top w:val="nil"/>
              <w:left w:val="nil"/>
              <w:bottom w:val="single" w:color="auto" w:sz="4" w:space="0"/>
              <w:right w:val="single" w:color="auto" w:sz="4" w:space="0"/>
            </w:tcBorders>
            <w:vAlign w:val="center"/>
          </w:tcPr>
          <w:p w14:paraId="7BC88A65">
            <w:pPr>
              <w:widowControl/>
              <w:jc w:val="center"/>
              <w:rPr>
                <w:rFonts w:ascii="仿宋" w:hAnsi="仿宋" w:eastAsia="仿宋" w:cs="宋体"/>
                <w:kern w:val="0"/>
                <w:sz w:val="24"/>
              </w:rPr>
            </w:pPr>
            <w:r>
              <w:rPr>
                <w:rFonts w:hint="eastAsia" w:ascii="仿宋" w:hAnsi="仿宋" w:eastAsia="仿宋" w:cs="宋体"/>
                <w:kern w:val="0"/>
                <w:sz w:val="24"/>
              </w:rPr>
              <w:t>4000</w:t>
            </w:r>
          </w:p>
        </w:tc>
        <w:tc>
          <w:tcPr>
            <w:tcW w:w="1174" w:type="dxa"/>
            <w:tcBorders>
              <w:top w:val="nil"/>
              <w:left w:val="nil"/>
              <w:bottom w:val="single" w:color="auto" w:sz="4" w:space="0"/>
              <w:right w:val="single" w:color="auto" w:sz="4" w:space="0"/>
            </w:tcBorders>
            <w:vAlign w:val="center"/>
          </w:tcPr>
          <w:p w14:paraId="6E82EA48">
            <w:pPr>
              <w:widowControl/>
              <w:jc w:val="center"/>
              <w:rPr>
                <w:rFonts w:ascii="仿宋" w:hAnsi="仿宋" w:eastAsia="仿宋" w:cs="宋体"/>
                <w:kern w:val="0"/>
                <w:sz w:val="24"/>
              </w:rPr>
            </w:pPr>
            <w:r>
              <w:rPr>
                <w:rFonts w:hint="eastAsia" w:ascii="仿宋" w:hAnsi="仿宋" w:eastAsia="仿宋" w:cs="宋体"/>
                <w:kern w:val="0"/>
                <w:sz w:val="24"/>
              </w:rPr>
              <w:t>70</w:t>
            </w:r>
          </w:p>
        </w:tc>
        <w:tc>
          <w:tcPr>
            <w:tcW w:w="1560" w:type="dxa"/>
            <w:tcBorders>
              <w:top w:val="nil"/>
              <w:left w:val="nil"/>
              <w:bottom w:val="single" w:color="auto" w:sz="4" w:space="0"/>
              <w:right w:val="single" w:color="auto" w:sz="4" w:space="0"/>
            </w:tcBorders>
            <w:vAlign w:val="center"/>
          </w:tcPr>
          <w:p w14:paraId="326532A9">
            <w:pPr>
              <w:widowControl/>
              <w:jc w:val="center"/>
              <w:rPr>
                <w:rFonts w:ascii="仿宋" w:hAnsi="仿宋" w:eastAsia="仿宋" w:cs="宋体"/>
                <w:kern w:val="0"/>
                <w:sz w:val="24"/>
              </w:rPr>
            </w:pPr>
            <w:r>
              <w:rPr>
                <w:rFonts w:hint="eastAsia" w:ascii="仿宋" w:hAnsi="仿宋" w:eastAsia="仿宋" w:cs="宋体"/>
                <w:kern w:val="0"/>
                <w:sz w:val="24"/>
              </w:rPr>
              <w:t>4000</w:t>
            </w:r>
          </w:p>
        </w:tc>
        <w:tc>
          <w:tcPr>
            <w:tcW w:w="1487" w:type="dxa"/>
            <w:tcBorders>
              <w:top w:val="nil"/>
              <w:left w:val="nil"/>
              <w:bottom w:val="single" w:color="auto" w:sz="4" w:space="0"/>
              <w:right w:val="single" w:color="auto" w:sz="4" w:space="0"/>
            </w:tcBorders>
            <w:vAlign w:val="center"/>
          </w:tcPr>
          <w:p w14:paraId="1D758FC8">
            <w:pPr>
              <w:widowControl/>
              <w:jc w:val="center"/>
              <w:rPr>
                <w:rFonts w:ascii="仿宋" w:hAnsi="仿宋" w:eastAsia="仿宋" w:cs="宋体"/>
                <w:kern w:val="0"/>
                <w:sz w:val="24"/>
              </w:rPr>
            </w:pPr>
            <w:r>
              <w:rPr>
                <w:rFonts w:hint="eastAsia" w:ascii="仿宋" w:hAnsi="仿宋" w:eastAsia="仿宋" w:cs="宋体"/>
                <w:kern w:val="0"/>
                <w:sz w:val="24"/>
              </w:rPr>
              <w:t>10年</w:t>
            </w:r>
          </w:p>
        </w:tc>
      </w:tr>
      <w:tr w14:paraId="1AD0B4C6">
        <w:tblPrEx>
          <w:tblCellMar>
            <w:top w:w="0" w:type="dxa"/>
            <w:left w:w="0" w:type="dxa"/>
            <w:bottom w:w="0" w:type="dxa"/>
            <w:right w:w="0" w:type="dxa"/>
          </w:tblCellMar>
        </w:tblPrEx>
        <w:trPr>
          <w:trHeight w:val="465" w:hRule="atLeast"/>
          <w:jc w:val="right"/>
        </w:trPr>
        <w:tc>
          <w:tcPr>
            <w:tcW w:w="755" w:type="dxa"/>
            <w:tcBorders>
              <w:top w:val="nil"/>
              <w:left w:val="single" w:color="auto" w:sz="4" w:space="0"/>
              <w:bottom w:val="single" w:color="auto" w:sz="4" w:space="0"/>
              <w:right w:val="single" w:color="auto" w:sz="4" w:space="0"/>
            </w:tcBorders>
            <w:shd w:val="clear" w:color="auto" w:fill="auto"/>
            <w:vAlign w:val="center"/>
          </w:tcPr>
          <w:p w14:paraId="455B7D28">
            <w:pPr>
              <w:widowControl/>
              <w:jc w:val="center"/>
              <w:rPr>
                <w:rFonts w:ascii="仿宋" w:hAnsi="仿宋" w:eastAsia="仿宋"/>
                <w:kern w:val="0"/>
                <w:sz w:val="24"/>
              </w:rPr>
            </w:pPr>
            <w:r>
              <w:rPr>
                <w:rFonts w:ascii="仿宋" w:hAnsi="仿宋" w:eastAsia="仿宋"/>
                <w:kern w:val="0"/>
                <w:sz w:val="24"/>
              </w:rPr>
              <w:t>25</w:t>
            </w:r>
          </w:p>
        </w:tc>
        <w:tc>
          <w:tcPr>
            <w:tcW w:w="822" w:type="dxa"/>
            <w:vMerge w:val="continue"/>
            <w:tcBorders>
              <w:left w:val="single" w:color="auto" w:sz="4" w:space="0"/>
              <w:right w:val="single" w:color="auto" w:sz="4" w:space="0"/>
            </w:tcBorders>
            <w:shd w:val="clear" w:color="auto" w:fill="auto"/>
            <w:vAlign w:val="center"/>
          </w:tcPr>
          <w:p w14:paraId="13FBEFC3">
            <w:pPr>
              <w:widowControl/>
              <w:jc w:val="left"/>
              <w:rPr>
                <w:rFonts w:ascii="仿宋" w:hAnsi="仿宋" w:eastAsia="仿宋"/>
                <w:kern w:val="0"/>
                <w:sz w:val="24"/>
              </w:rPr>
            </w:pPr>
          </w:p>
        </w:tc>
        <w:tc>
          <w:tcPr>
            <w:tcW w:w="1386" w:type="dxa"/>
            <w:tcBorders>
              <w:top w:val="nil"/>
              <w:left w:val="nil"/>
              <w:bottom w:val="single" w:color="auto" w:sz="4" w:space="0"/>
              <w:right w:val="single" w:color="auto" w:sz="4" w:space="0"/>
            </w:tcBorders>
            <w:shd w:val="clear" w:color="000000" w:fill="FFFFFF"/>
            <w:vAlign w:val="center"/>
          </w:tcPr>
          <w:p w14:paraId="5E389E92">
            <w:pPr>
              <w:widowControl/>
              <w:jc w:val="center"/>
              <w:rPr>
                <w:rFonts w:ascii="仿宋" w:hAnsi="仿宋" w:eastAsia="仿宋"/>
                <w:kern w:val="0"/>
                <w:sz w:val="24"/>
              </w:rPr>
            </w:pPr>
            <w:r>
              <w:rPr>
                <w:rFonts w:ascii="仿宋" w:hAnsi="仿宋" w:eastAsia="仿宋"/>
                <w:kern w:val="0"/>
                <w:sz w:val="24"/>
              </w:rPr>
              <w:t>M02203</w:t>
            </w:r>
          </w:p>
        </w:tc>
        <w:tc>
          <w:tcPr>
            <w:tcW w:w="3598" w:type="dxa"/>
            <w:tcBorders>
              <w:top w:val="nil"/>
              <w:left w:val="nil"/>
              <w:bottom w:val="single" w:color="auto" w:sz="4" w:space="0"/>
              <w:right w:val="single" w:color="auto" w:sz="4" w:space="0"/>
            </w:tcBorders>
            <w:shd w:val="clear" w:color="000000" w:fill="FFFFFF"/>
            <w:vAlign w:val="center"/>
          </w:tcPr>
          <w:p w14:paraId="7ADF4DB3">
            <w:pPr>
              <w:widowControl/>
              <w:jc w:val="center"/>
              <w:rPr>
                <w:rFonts w:ascii="仿宋" w:hAnsi="仿宋" w:eastAsia="仿宋"/>
                <w:kern w:val="0"/>
                <w:sz w:val="24"/>
              </w:rPr>
            </w:pPr>
            <w:r>
              <w:rPr>
                <w:rFonts w:ascii="仿宋" w:hAnsi="仿宋" w:eastAsia="仿宋"/>
                <w:kern w:val="0"/>
                <w:sz w:val="24"/>
              </w:rPr>
              <w:t>躁狂症</w:t>
            </w:r>
          </w:p>
        </w:tc>
        <w:tc>
          <w:tcPr>
            <w:tcW w:w="1180" w:type="dxa"/>
            <w:tcBorders>
              <w:top w:val="nil"/>
              <w:left w:val="nil"/>
              <w:bottom w:val="single" w:color="auto" w:sz="4" w:space="0"/>
              <w:right w:val="single" w:color="auto" w:sz="4" w:space="0"/>
            </w:tcBorders>
            <w:vAlign w:val="center"/>
          </w:tcPr>
          <w:p w14:paraId="7DAE107D">
            <w:pPr>
              <w:widowControl/>
              <w:jc w:val="center"/>
              <w:rPr>
                <w:rFonts w:ascii="仿宋" w:hAnsi="仿宋" w:eastAsia="仿宋"/>
                <w:kern w:val="0"/>
                <w:sz w:val="24"/>
              </w:rPr>
            </w:pPr>
            <w:r>
              <w:rPr>
                <w:rFonts w:ascii="仿宋" w:hAnsi="仿宋" w:eastAsia="仿宋"/>
                <w:kern w:val="0"/>
                <w:sz w:val="24"/>
              </w:rPr>
              <w:t>85</w:t>
            </w:r>
          </w:p>
        </w:tc>
        <w:tc>
          <w:tcPr>
            <w:tcW w:w="1394" w:type="dxa"/>
            <w:tcBorders>
              <w:top w:val="nil"/>
              <w:left w:val="nil"/>
              <w:bottom w:val="single" w:color="auto" w:sz="4" w:space="0"/>
              <w:right w:val="single" w:color="auto" w:sz="4" w:space="0"/>
            </w:tcBorders>
            <w:vAlign w:val="center"/>
          </w:tcPr>
          <w:p w14:paraId="6928CF99">
            <w:pPr>
              <w:widowControl/>
              <w:jc w:val="center"/>
              <w:rPr>
                <w:rFonts w:ascii="仿宋" w:hAnsi="仿宋" w:eastAsia="仿宋" w:cs="宋体"/>
                <w:kern w:val="0"/>
                <w:sz w:val="24"/>
              </w:rPr>
            </w:pPr>
            <w:r>
              <w:rPr>
                <w:rFonts w:hint="eastAsia" w:ascii="仿宋" w:hAnsi="仿宋" w:eastAsia="仿宋" w:cs="宋体"/>
                <w:kern w:val="0"/>
                <w:sz w:val="24"/>
              </w:rPr>
              <w:t>4000</w:t>
            </w:r>
          </w:p>
        </w:tc>
        <w:tc>
          <w:tcPr>
            <w:tcW w:w="1174" w:type="dxa"/>
            <w:tcBorders>
              <w:top w:val="nil"/>
              <w:left w:val="nil"/>
              <w:bottom w:val="single" w:color="auto" w:sz="4" w:space="0"/>
              <w:right w:val="single" w:color="auto" w:sz="4" w:space="0"/>
            </w:tcBorders>
            <w:vAlign w:val="center"/>
          </w:tcPr>
          <w:p w14:paraId="7740FAD6">
            <w:pPr>
              <w:widowControl/>
              <w:jc w:val="center"/>
              <w:rPr>
                <w:rFonts w:ascii="仿宋" w:hAnsi="仿宋" w:eastAsia="仿宋" w:cs="宋体"/>
                <w:kern w:val="0"/>
                <w:sz w:val="24"/>
              </w:rPr>
            </w:pPr>
            <w:r>
              <w:rPr>
                <w:rFonts w:hint="eastAsia" w:ascii="仿宋" w:hAnsi="仿宋" w:eastAsia="仿宋" w:cs="宋体"/>
                <w:kern w:val="0"/>
                <w:sz w:val="24"/>
              </w:rPr>
              <w:t>70</w:t>
            </w:r>
          </w:p>
        </w:tc>
        <w:tc>
          <w:tcPr>
            <w:tcW w:w="1560" w:type="dxa"/>
            <w:tcBorders>
              <w:top w:val="nil"/>
              <w:left w:val="nil"/>
              <w:bottom w:val="single" w:color="auto" w:sz="4" w:space="0"/>
              <w:right w:val="single" w:color="auto" w:sz="4" w:space="0"/>
            </w:tcBorders>
            <w:vAlign w:val="center"/>
          </w:tcPr>
          <w:p w14:paraId="36D2C9B5">
            <w:pPr>
              <w:widowControl/>
              <w:jc w:val="center"/>
              <w:rPr>
                <w:rFonts w:ascii="仿宋" w:hAnsi="仿宋" w:eastAsia="仿宋" w:cs="宋体"/>
                <w:kern w:val="0"/>
                <w:sz w:val="24"/>
              </w:rPr>
            </w:pPr>
            <w:r>
              <w:rPr>
                <w:rFonts w:hint="eastAsia" w:ascii="仿宋" w:hAnsi="仿宋" w:eastAsia="仿宋" w:cs="宋体"/>
                <w:kern w:val="0"/>
                <w:sz w:val="24"/>
              </w:rPr>
              <w:t>4000</w:t>
            </w:r>
          </w:p>
        </w:tc>
        <w:tc>
          <w:tcPr>
            <w:tcW w:w="1487" w:type="dxa"/>
            <w:tcBorders>
              <w:top w:val="nil"/>
              <w:left w:val="nil"/>
              <w:bottom w:val="single" w:color="auto" w:sz="4" w:space="0"/>
              <w:right w:val="single" w:color="auto" w:sz="4" w:space="0"/>
            </w:tcBorders>
            <w:vAlign w:val="center"/>
          </w:tcPr>
          <w:p w14:paraId="1F5D804E">
            <w:pPr>
              <w:widowControl/>
              <w:jc w:val="center"/>
              <w:rPr>
                <w:rFonts w:ascii="仿宋" w:hAnsi="仿宋" w:eastAsia="仿宋" w:cs="宋体"/>
                <w:kern w:val="0"/>
                <w:sz w:val="24"/>
              </w:rPr>
            </w:pPr>
            <w:r>
              <w:rPr>
                <w:rFonts w:hint="eastAsia" w:ascii="仿宋" w:hAnsi="仿宋" w:eastAsia="仿宋" w:cs="宋体"/>
                <w:kern w:val="0"/>
                <w:sz w:val="24"/>
              </w:rPr>
              <w:t>10年</w:t>
            </w:r>
          </w:p>
        </w:tc>
      </w:tr>
      <w:tr w14:paraId="275425BD">
        <w:tblPrEx>
          <w:tblCellMar>
            <w:top w:w="0" w:type="dxa"/>
            <w:left w:w="0" w:type="dxa"/>
            <w:bottom w:w="0" w:type="dxa"/>
            <w:right w:w="0" w:type="dxa"/>
          </w:tblCellMar>
        </w:tblPrEx>
        <w:trPr>
          <w:trHeight w:val="465" w:hRule="atLeast"/>
          <w:jc w:val="right"/>
        </w:trPr>
        <w:tc>
          <w:tcPr>
            <w:tcW w:w="755" w:type="dxa"/>
            <w:tcBorders>
              <w:top w:val="nil"/>
              <w:left w:val="single" w:color="auto" w:sz="4" w:space="0"/>
              <w:bottom w:val="single" w:color="auto" w:sz="4" w:space="0"/>
              <w:right w:val="single" w:color="auto" w:sz="4" w:space="0"/>
            </w:tcBorders>
            <w:shd w:val="clear" w:color="auto" w:fill="auto"/>
            <w:vAlign w:val="center"/>
          </w:tcPr>
          <w:p w14:paraId="2395A8D1">
            <w:pPr>
              <w:widowControl/>
              <w:jc w:val="center"/>
              <w:rPr>
                <w:rFonts w:ascii="仿宋" w:hAnsi="仿宋" w:eastAsia="仿宋"/>
                <w:kern w:val="0"/>
                <w:sz w:val="24"/>
              </w:rPr>
            </w:pPr>
            <w:r>
              <w:rPr>
                <w:rFonts w:ascii="仿宋" w:hAnsi="仿宋" w:eastAsia="仿宋"/>
                <w:kern w:val="0"/>
                <w:sz w:val="24"/>
              </w:rPr>
              <w:t>26</w:t>
            </w:r>
          </w:p>
        </w:tc>
        <w:tc>
          <w:tcPr>
            <w:tcW w:w="822" w:type="dxa"/>
            <w:vMerge w:val="continue"/>
            <w:tcBorders>
              <w:left w:val="single" w:color="auto" w:sz="4" w:space="0"/>
              <w:right w:val="single" w:color="auto" w:sz="4" w:space="0"/>
            </w:tcBorders>
            <w:shd w:val="clear" w:color="auto" w:fill="auto"/>
            <w:vAlign w:val="center"/>
          </w:tcPr>
          <w:p w14:paraId="2272A7F0">
            <w:pPr>
              <w:widowControl/>
              <w:jc w:val="left"/>
              <w:rPr>
                <w:rFonts w:ascii="仿宋" w:hAnsi="仿宋" w:eastAsia="仿宋"/>
                <w:kern w:val="0"/>
                <w:sz w:val="24"/>
              </w:rPr>
            </w:pPr>
          </w:p>
        </w:tc>
        <w:tc>
          <w:tcPr>
            <w:tcW w:w="1386" w:type="dxa"/>
            <w:tcBorders>
              <w:top w:val="nil"/>
              <w:left w:val="nil"/>
              <w:bottom w:val="single" w:color="auto" w:sz="4" w:space="0"/>
              <w:right w:val="single" w:color="auto" w:sz="4" w:space="0"/>
            </w:tcBorders>
            <w:shd w:val="clear" w:color="000000" w:fill="FFFFFF"/>
            <w:vAlign w:val="center"/>
          </w:tcPr>
          <w:p w14:paraId="6819F3BD">
            <w:pPr>
              <w:widowControl/>
              <w:jc w:val="center"/>
              <w:rPr>
                <w:rFonts w:ascii="仿宋" w:hAnsi="仿宋" w:eastAsia="仿宋"/>
                <w:kern w:val="0"/>
                <w:sz w:val="24"/>
              </w:rPr>
            </w:pPr>
            <w:r>
              <w:rPr>
                <w:rFonts w:ascii="仿宋" w:hAnsi="仿宋" w:eastAsia="仿宋"/>
                <w:kern w:val="0"/>
                <w:sz w:val="24"/>
              </w:rPr>
              <w:t>M02202</w:t>
            </w:r>
          </w:p>
        </w:tc>
        <w:tc>
          <w:tcPr>
            <w:tcW w:w="3598" w:type="dxa"/>
            <w:tcBorders>
              <w:top w:val="nil"/>
              <w:left w:val="nil"/>
              <w:bottom w:val="single" w:color="auto" w:sz="4" w:space="0"/>
              <w:right w:val="single" w:color="auto" w:sz="4" w:space="0"/>
            </w:tcBorders>
            <w:shd w:val="clear" w:color="000000" w:fill="FFFFFF"/>
            <w:vAlign w:val="center"/>
          </w:tcPr>
          <w:p w14:paraId="6F8E4D9B">
            <w:pPr>
              <w:widowControl/>
              <w:jc w:val="center"/>
              <w:rPr>
                <w:rFonts w:ascii="仿宋" w:hAnsi="仿宋" w:eastAsia="仿宋"/>
                <w:kern w:val="0"/>
                <w:sz w:val="24"/>
              </w:rPr>
            </w:pPr>
            <w:r>
              <w:rPr>
                <w:rFonts w:ascii="仿宋" w:hAnsi="仿宋" w:eastAsia="仿宋"/>
                <w:kern w:val="0"/>
                <w:sz w:val="24"/>
              </w:rPr>
              <w:t>抑郁症</w:t>
            </w:r>
          </w:p>
        </w:tc>
        <w:tc>
          <w:tcPr>
            <w:tcW w:w="1180" w:type="dxa"/>
            <w:tcBorders>
              <w:top w:val="nil"/>
              <w:left w:val="nil"/>
              <w:bottom w:val="single" w:color="auto" w:sz="4" w:space="0"/>
              <w:right w:val="single" w:color="auto" w:sz="4" w:space="0"/>
            </w:tcBorders>
            <w:vAlign w:val="center"/>
          </w:tcPr>
          <w:p w14:paraId="49BC481A">
            <w:pPr>
              <w:widowControl/>
              <w:jc w:val="center"/>
              <w:rPr>
                <w:rFonts w:ascii="仿宋" w:hAnsi="仿宋" w:eastAsia="仿宋"/>
                <w:kern w:val="0"/>
                <w:sz w:val="24"/>
              </w:rPr>
            </w:pPr>
            <w:r>
              <w:rPr>
                <w:rFonts w:ascii="仿宋" w:hAnsi="仿宋" w:eastAsia="仿宋"/>
                <w:kern w:val="0"/>
                <w:sz w:val="24"/>
              </w:rPr>
              <w:t>85</w:t>
            </w:r>
          </w:p>
        </w:tc>
        <w:tc>
          <w:tcPr>
            <w:tcW w:w="1394" w:type="dxa"/>
            <w:tcBorders>
              <w:top w:val="nil"/>
              <w:left w:val="nil"/>
              <w:bottom w:val="single" w:color="auto" w:sz="4" w:space="0"/>
              <w:right w:val="single" w:color="auto" w:sz="4" w:space="0"/>
            </w:tcBorders>
            <w:vAlign w:val="center"/>
          </w:tcPr>
          <w:p w14:paraId="292DB847">
            <w:pPr>
              <w:widowControl/>
              <w:jc w:val="center"/>
              <w:rPr>
                <w:rFonts w:ascii="仿宋" w:hAnsi="仿宋" w:eastAsia="仿宋" w:cs="宋体"/>
                <w:kern w:val="0"/>
                <w:sz w:val="24"/>
              </w:rPr>
            </w:pPr>
            <w:r>
              <w:rPr>
                <w:rFonts w:hint="eastAsia" w:ascii="仿宋" w:hAnsi="仿宋" w:eastAsia="仿宋" w:cs="宋体"/>
                <w:kern w:val="0"/>
                <w:sz w:val="24"/>
              </w:rPr>
              <w:t>4000</w:t>
            </w:r>
          </w:p>
        </w:tc>
        <w:tc>
          <w:tcPr>
            <w:tcW w:w="1174" w:type="dxa"/>
            <w:tcBorders>
              <w:top w:val="nil"/>
              <w:left w:val="nil"/>
              <w:bottom w:val="single" w:color="auto" w:sz="4" w:space="0"/>
              <w:right w:val="single" w:color="auto" w:sz="4" w:space="0"/>
            </w:tcBorders>
            <w:vAlign w:val="center"/>
          </w:tcPr>
          <w:p w14:paraId="264ACA8D">
            <w:pPr>
              <w:widowControl/>
              <w:jc w:val="center"/>
              <w:rPr>
                <w:rFonts w:ascii="仿宋" w:hAnsi="仿宋" w:eastAsia="仿宋" w:cs="宋体"/>
                <w:kern w:val="0"/>
                <w:sz w:val="24"/>
              </w:rPr>
            </w:pPr>
            <w:r>
              <w:rPr>
                <w:rFonts w:hint="eastAsia" w:ascii="仿宋" w:hAnsi="仿宋" w:eastAsia="仿宋" w:cs="宋体"/>
                <w:kern w:val="0"/>
                <w:sz w:val="24"/>
              </w:rPr>
              <w:t>70</w:t>
            </w:r>
          </w:p>
        </w:tc>
        <w:tc>
          <w:tcPr>
            <w:tcW w:w="1560" w:type="dxa"/>
            <w:tcBorders>
              <w:top w:val="nil"/>
              <w:left w:val="nil"/>
              <w:bottom w:val="single" w:color="auto" w:sz="4" w:space="0"/>
              <w:right w:val="single" w:color="auto" w:sz="4" w:space="0"/>
            </w:tcBorders>
            <w:vAlign w:val="center"/>
          </w:tcPr>
          <w:p w14:paraId="58ECF8B7">
            <w:pPr>
              <w:widowControl/>
              <w:jc w:val="center"/>
              <w:rPr>
                <w:rFonts w:ascii="仿宋" w:hAnsi="仿宋" w:eastAsia="仿宋" w:cs="宋体"/>
                <w:kern w:val="0"/>
                <w:sz w:val="24"/>
              </w:rPr>
            </w:pPr>
            <w:r>
              <w:rPr>
                <w:rFonts w:hint="eastAsia" w:ascii="仿宋" w:hAnsi="仿宋" w:eastAsia="仿宋" w:cs="宋体"/>
                <w:kern w:val="0"/>
                <w:sz w:val="24"/>
              </w:rPr>
              <w:t>4000</w:t>
            </w:r>
          </w:p>
        </w:tc>
        <w:tc>
          <w:tcPr>
            <w:tcW w:w="1487" w:type="dxa"/>
            <w:tcBorders>
              <w:top w:val="nil"/>
              <w:left w:val="nil"/>
              <w:bottom w:val="single" w:color="auto" w:sz="4" w:space="0"/>
              <w:right w:val="single" w:color="auto" w:sz="4" w:space="0"/>
            </w:tcBorders>
            <w:vAlign w:val="center"/>
          </w:tcPr>
          <w:p w14:paraId="5F1B9E93">
            <w:pPr>
              <w:widowControl/>
              <w:jc w:val="center"/>
              <w:rPr>
                <w:rFonts w:ascii="仿宋" w:hAnsi="仿宋" w:eastAsia="仿宋" w:cs="宋体"/>
                <w:kern w:val="0"/>
                <w:sz w:val="24"/>
              </w:rPr>
            </w:pPr>
            <w:r>
              <w:rPr>
                <w:rFonts w:hint="eastAsia" w:ascii="仿宋" w:hAnsi="仿宋" w:eastAsia="仿宋" w:cs="宋体"/>
                <w:kern w:val="0"/>
                <w:sz w:val="24"/>
              </w:rPr>
              <w:t>10年</w:t>
            </w:r>
          </w:p>
        </w:tc>
      </w:tr>
      <w:tr w14:paraId="6440A212">
        <w:tblPrEx>
          <w:tblCellMar>
            <w:top w:w="0" w:type="dxa"/>
            <w:left w:w="0" w:type="dxa"/>
            <w:bottom w:w="0" w:type="dxa"/>
            <w:right w:w="0" w:type="dxa"/>
          </w:tblCellMar>
        </w:tblPrEx>
        <w:trPr>
          <w:trHeight w:val="501" w:hRule="atLeast"/>
          <w:jc w:val="right"/>
        </w:trPr>
        <w:tc>
          <w:tcPr>
            <w:tcW w:w="755" w:type="dxa"/>
            <w:tcBorders>
              <w:top w:val="nil"/>
              <w:left w:val="single" w:color="auto" w:sz="4" w:space="0"/>
              <w:bottom w:val="single" w:color="auto" w:sz="4" w:space="0"/>
              <w:right w:val="single" w:color="auto" w:sz="4" w:space="0"/>
            </w:tcBorders>
            <w:shd w:val="clear" w:color="auto" w:fill="auto"/>
            <w:vAlign w:val="center"/>
          </w:tcPr>
          <w:p w14:paraId="6E664726">
            <w:pPr>
              <w:widowControl/>
              <w:jc w:val="center"/>
              <w:rPr>
                <w:rFonts w:ascii="仿宋" w:hAnsi="仿宋" w:eastAsia="仿宋"/>
                <w:kern w:val="0"/>
                <w:sz w:val="24"/>
              </w:rPr>
            </w:pPr>
            <w:r>
              <w:rPr>
                <w:rFonts w:ascii="仿宋" w:hAnsi="仿宋" w:eastAsia="仿宋"/>
                <w:kern w:val="0"/>
                <w:sz w:val="24"/>
              </w:rPr>
              <w:t>27</w:t>
            </w:r>
          </w:p>
        </w:tc>
        <w:tc>
          <w:tcPr>
            <w:tcW w:w="822" w:type="dxa"/>
            <w:vMerge w:val="continue"/>
            <w:tcBorders>
              <w:left w:val="single" w:color="auto" w:sz="4" w:space="0"/>
              <w:bottom w:val="single" w:color="000000" w:sz="4" w:space="0"/>
              <w:right w:val="single" w:color="auto" w:sz="4" w:space="0"/>
            </w:tcBorders>
            <w:shd w:val="clear" w:color="auto" w:fill="auto"/>
            <w:vAlign w:val="center"/>
          </w:tcPr>
          <w:p w14:paraId="42C46B5B">
            <w:pPr>
              <w:widowControl/>
              <w:jc w:val="left"/>
              <w:rPr>
                <w:rFonts w:ascii="仿宋" w:hAnsi="仿宋" w:eastAsia="仿宋"/>
                <w:kern w:val="0"/>
                <w:sz w:val="24"/>
              </w:rPr>
            </w:pPr>
          </w:p>
        </w:tc>
        <w:tc>
          <w:tcPr>
            <w:tcW w:w="1386" w:type="dxa"/>
            <w:tcBorders>
              <w:top w:val="nil"/>
              <w:left w:val="nil"/>
              <w:bottom w:val="single" w:color="auto" w:sz="4" w:space="0"/>
              <w:right w:val="single" w:color="auto" w:sz="4" w:space="0"/>
            </w:tcBorders>
            <w:shd w:val="clear" w:color="000000" w:fill="FFFFFF"/>
            <w:vAlign w:val="center"/>
          </w:tcPr>
          <w:p w14:paraId="6C45E890">
            <w:pPr>
              <w:widowControl/>
              <w:jc w:val="center"/>
              <w:rPr>
                <w:rFonts w:ascii="仿宋" w:hAnsi="仿宋" w:eastAsia="仿宋"/>
                <w:kern w:val="0"/>
                <w:sz w:val="24"/>
              </w:rPr>
            </w:pPr>
            <w:r>
              <w:rPr>
                <w:rFonts w:ascii="仿宋" w:hAnsi="仿宋" w:eastAsia="仿宋"/>
                <w:kern w:val="0"/>
                <w:sz w:val="24"/>
              </w:rPr>
              <w:t>M04100</w:t>
            </w:r>
          </w:p>
        </w:tc>
        <w:tc>
          <w:tcPr>
            <w:tcW w:w="3598" w:type="dxa"/>
            <w:tcBorders>
              <w:top w:val="nil"/>
              <w:left w:val="nil"/>
              <w:bottom w:val="single" w:color="auto" w:sz="4" w:space="0"/>
              <w:right w:val="single" w:color="auto" w:sz="4" w:space="0"/>
            </w:tcBorders>
            <w:shd w:val="clear" w:color="000000" w:fill="FFFFFF"/>
            <w:vAlign w:val="center"/>
          </w:tcPr>
          <w:p w14:paraId="71F187BD">
            <w:pPr>
              <w:widowControl/>
              <w:jc w:val="center"/>
              <w:rPr>
                <w:rFonts w:ascii="仿宋" w:hAnsi="仿宋" w:eastAsia="仿宋"/>
                <w:kern w:val="0"/>
                <w:sz w:val="24"/>
              </w:rPr>
            </w:pPr>
            <w:r>
              <w:rPr>
                <w:rFonts w:ascii="仿宋" w:hAnsi="仿宋" w:eastAsia="仿宋"/>
                <w:kern w:val="0"/>
                <w:sz w:val="24"/>
              </w:rPr>
              <w:t>肺源性心脏病</w:t>
            </w:r>
          </w:p>
        </w:tc>
        <w:tc>
          <w:tcPr>
            <w:tcW w:w="1180" w:type="dxa"/>
            <w:tcBorders>
              <w:top w:val="nil"/>
              <w:left w:val="nil"/>
              <w:bottom w:val="single" w:color="auto" w:sz="4" w:space="0"/>
              <w:right w:val="single" w:color="auto" w:sz="4" w:space="0"/>
            </w:tcBorders>
            <w:vAlign w:val="center"/>
          </w:tcPr>
          <w:p w14:paraId="7B062941">
            <w:pPr>
              <w:widowControl/>
              <w:jc w:val="center"/>
              <w:rPr>
                <w:rFonts w:ascii="仿宋" w:hAnsi="仿宋" w:eastAsia="仿宋"/>
                <w:kern w:val="0"/>
                <w:sz w:val="24"/>
              </w:rPr>
            </w:pPr>
            <w:r>
              <w:rPr>
                <w:rFonts w:ascii="仿宋" w:hAnsi="仿宋" w:eastAsia="仿宋"/>
                <w:kern w:val="0"/>
                <w:sz w:val="24"/>
              </w:rPr>
              <w:t>85</w:t>
            </w:r>
          </w:p>
        </w:tc>
        <w:tc>
          <w:tcPr>
            <w:tcW w:w="1394" w:type="dxa"/>
            <w:tcBorders>
              <w:top w:val="nil"/>
              <w:left w:val="nil"/>
              <w:bottom w:val="single" w:color="auto" w:sz="4" w:space="0"/>
              <w:right w:val="single" w:color="auto" w:sz="4" w:space="0"/>
            </w:tcBorders>
            <w:vAlign w:val="center"/>
          </w:tcPr>
          <w:p w14:paraId="32E321F7">
            <w:pPr>
              <w:widowControl/>
              <w:jc w:val="center"/>
              <w:rPr>
                <w:rFonts w:ascii="仿宋" w:hAnsi="仿宋" w:eastAsia="仿宋" w:cs="宋体"/>
                <w:kern w:val="0"/>
                <w:sz w:val="24"/>
              </w:rPr>
            </w:pPr>
            <w:r>
              <w:rPr>
                <w:rFonts w:hint="eastAsia" w:ascii="仿宋" w:hAnsi="仿宋" w:eastAsia="仿宋" w:cs="宋体"/>
                <w:kern w:val="0"/>
                <w:sz w:val="24"/>
              </w:rPr>
              <w:t>5000</w:t>
            </w:r>
          </w:p>
        </w:tc>
        <w:tc>
          <w:tcPr>
            <w:tcW w:w="1174" w:type="dxa"/>
            <w:tcBorders>
              <w:top w:val="nil"/>
              <w:left w:val="nil"/>
              <w:bottom w:val="single" w:color="auto" w:sz="4" w:space="0"/>
              <w:right w:val="single" w:color="auto" w:sz="4" w:space="0"/>
            </w:tcBorders>
            <w:vAlign w:val="center"/>
          </w:tcPr>
          <w:p w14:paraId="2EC58E8B">
            <w:pPr>
              <w:widowControl/>
              <w:jc w:val="center"/>
              <w:rPr>
                <w:rFonts w:ascii="仿宋" w:hAnsi="仿宋" w:eastAsia="仿宋" w:cs="宋体"/>
                <w:kern w:val="0"/>
                <w:sz w:val="24"/>
              </w:rPr>
            </w:pPr>
            <w:r>
              <w:rPr>
                <w:rFonts w:hint="eastAsia" w:ascii="仿宋" w:hAnsi="仿宋" w:eastAsia="仿宋" w:cs="宋体"/>
                <w:kern w:val="0"/>
                <w:sz w:val="24"/>
              </w:rPr>
              <w:t>70</w:t>
            </w:r>
          </w:p>
        </w:tc>
        <w:tc>
          <w:tcPr>
            <w:tcW w:w="1560" w:type="dxa"/>
            <w:tcBorders>
              <w:top w:val="nil"/>
              <w:left w:val="nil"/>
              <w:bottom w:val="single" w:color="auto" w:sz="4" w:space="0"/>
              <w:right w:val="single" w:color="auto" w:sz="4" w:space="0"/>
            </w:tcBorders>
            <w:vAlign w:val="center"/>
          </w:tcPr>
          <w:p w14:paraId="39A456FD">
            <w:pPr>
              <w:widowControl/>
              <w:jc w:val="center"/>
              <w:rPr>
                <w:rFonts w:ascii="仿宋" w:hAnsi="仿宋" w:eastAsia="仿宋" w:cs="宋体"/>
                <w:kern w:val="0"/>
                <w:sz w:val="24"/>
              </w:rPr>
            </w:pPr>
            <w:r>
              <w:rPr>
                <w:rFonts w:hint="eastAsia" w:ascii="仿宋" w:hAnsi="仿宋" w:eastAsia="仿宋" w:cs="宋体"/>
                <w:kern w:val="0"/>
                <w:sz w:val="24"/>
              </w:rPr>
              <w:t>4000</w:t>
            </w:r>
          </w:p>
        </w:tc>
        <w:tc>
          <w:tcPr>
            <w:tcW w:w="1487" w:type="dxa"/>
            <w:tcBorders>
              <w:top w:val="nil"/>
              <w:left w:val="nil"/>
              <w:bottom w:val="single" w:color="auto" w:sz="4" w:space="0"/>
              <w:right w:val="single" w:color="auto" w:sz="4" w:space="0"/>
            </w:tcBorders>
            <w:vAlign w:val="center"/>
          </w:tcPr>
          <w:p w14:paraId="42248091">
            <w:pPr>
              <w:widowControl/>
              <w:jc w:val="center"/>
              <w:rPr>
                <w:rFonts w:ascii="仿宋" w:hAnsi="仿宋" w:eastAsia="仿宋" w:cs="宋体"/>
                <w:kern w:val="0"/>
                <w:sz w:val="24"/>
              </w:rPr>
            </w:pPr>
            <w:r>
              <w:rPr>
                <w:rFonts w:hint="eastAsia" w:ascii="仿宋" w:hAnsi="仿宋" w:eastAsia="仿宋" w:cs="宋体"/>
                <w:kern w:val="0"/>
                <w:sz w:val="24"/>
              </w:rPr>
              <w:t>3年</w:t>
            </w:r>
          </w:p>
        </w:tc>
      </w:tr>
      <w:tr w14:paraId="199E3346">
        <w:tblPrEx>
          <w:tblCellMar>
            <w:top w:w="0" w:type="dxa"/>
            <w:left w:w="0" w:type="dxa"/>
            <w:bottom w:w="0" w:type="dxa"/>
            <w:right w:w="0" w:type="dxa"/>
          </w:tblCellMar>
        </w:tblPrEx>
        <w:trPr>
          <w:trHeight w:val="465" w:hRule="atLeast"/>
          <w:jc w:val="right"/>
        </w:trPr>
        <w:tc>
          <w:tcPr>
            <w:tcW w:w="755" w:type="dxa"/>
            <w:tcBorders>
              <w:top w:val="nil"/>
              <w:left w:val="single" w:color="auto" w:sz="4" w:space="0"/>
              <w:bottom w:val="single" w:color="auto" w:sz="4" w:space="0"/>
              <w:right w:val="single" w:color="auto" w:sz="4" w:space="0"/>
            </w:tcBorders>
            <w:shd w:val="clear" w:color="auto" w:fill="auto"/>
            <w:vAlign w:val="center"/>
          </w:tcPr>
          <w:p w14:paraId="1B493AE2">
            <w:pPr>
              <w:widowControl/>
              <w:jc w:val="center"/>
              <w:rPr>
                <w:rFonts w:ascii="仿宋" w:hAnsi="仿宋" w:eastAsia="仿宋"/>
                <w:kern w:val="0"/>
                <w:sz w:val="24"/>
              </w:rPr>
            </w:pPr>
            <w:r>
              <w:rPr>
                <w:rFonts w:ascii="仿宋" w:hAnsi="仿宋" w:eastAsia="仿宋"/>
                <w:kern w:val="0"/>
                <w:sz w:val="24"/>
              </w:rPr>
              <w:t>28</w:t>
            </w:r>
          </w:p>
        </w:tc>
        <w:tc>
          <w:tcPr>
            <w:tcW w:w="822" w:type="dxa"/>
            <w:vMerge w:val="restart"/>
            <w:tcBorders>
              <w:top w:val="nil"/>
              <w:left w:val="single" w:color="auto" w:sz="4" w:space="0"/>
              <w:right w:val="single" w:color="auto" w:sz="4" w:space="0"/>
            </w:tcBorders>
            <w:shd w:val="clear" w:color="auto" w:fill="auto"/>
            <w:vAlign w:val="center"/>
          </w:tcPr>
          <w:p w14:paraId="4E559656">
            <w:pPr>
              <w:jc w:val="center"/>
              <w:rPr>
                <w:rFonts w:ascii="仿宋" w:hAnsi="仿宋" w:eastAsia="仿宋"/>
                <w:kern w:val="0"/>
                <w:sz w:val="24"/>
              </w:rPr>
            </w:pPr>
            <w:r>
              <w:rPr>
                <w:rFonts w:hint="eastAsia" w:ascii="仿宋" w:hAnsi="仿宋" w:eastAsia="仿宋" w:cs="宋体"/>
                <w:kern w:val="0"/>
                <w:sz w:val="24"/>
              </w:rPr>
              <w:t>Ⅰ</w:t>
            </w:r>
            <w:r>
              <w:rPr>
                <w:rFonts w:ascii="仿宋" w:hAnsi="仿宋" w:eastAsia="仿宋"/>
                <w:kern w:val="0"/>
                <w:sz w:val="24"/>
              </w:rPr>
              <w:t>类</w:t>
            </w:r>
          </w:p>
        </w:tc>
        <w:tc>
          <w:tcPr>
            <w:tcW w:w="1386" w:type="dxa"/>
            <w:tcBorders>
              <w:top w:val="nil"/>
              <w:left w:val="nil"/>
              <w:bottom w:val="single" w:color="auto" w:sz="4" w:space="0"/>
              <w:right w:val="single" w:color="auto" w:sz="4" w:space="0"/>
            </w:tcBorders>
            <w:shd w:val="clear" w:color="000000" w:fill="FFFFFF"/>
            <w:vAlign w:val="center"/>
          </w:tcPr>
          <w:p w14:paraId="515C6AAF">
            <w:pPr>
              <w:widowControl/>
              <w:jc w:val="center"/>
              <w:rPr>
                <w:rFonts w:ascii="仿宋" w:hAnsi="仿宋" w:eastAsia="仿宋"/>
                <w:kern w:val="0"/>
                <w:sz w:val="24"/>
              </w:rPr>
            </w:pPr>
            <w:r>
              <w:rPr>
                <w:rFonts w:ascii="仿宋" w:hAnsi="仿宋" w:eastAsia="仿宋"/>
                <w:kern w:val="0"/>
                <w:sz w:val="24"/>
              </w:rPr>
              <w:t>M05300</w:t>
            </w:r>
          </w:p>
        </w:tc>
        <w:tc>
          <w:tcPr>
            <w:tcW w:w="3598" w:type="dxa"/>
            <w:tcBorders>
              <w:top w:val="nil"/>
              <w:left w:val="nil"/>
              <w:bottom w:val="single" w:color="auto" w:sz="4" w:space="0"/>
              <w:right w:val="single" w:color="auto" w:sz="4" w:space="0"/>
            </w:tcBorders>
            <w:shd w:val="clear" w:color="000000" w:fill="FFFFFF"/>
            <w:vAlign w:val="center"/>
          </w:tcPr>
          <w:p w14:paraId="0DE49464">
            <w:pPr>
              <w:widowControl/>
              <w:jc w:val="center"/>
              <w:rPr>
                <w:rFonts w:ascii="仿宋" w:hAnsi="仿宋" w:eastAsia="仿宋"/>
                <w:kern w:val="0"/>
                <w:sz w:val="24"/>
              </w:rPr>
            </w:pPr>
            <w:r>
              <w:rPr>
                <w:rFonts w:ascii="仿宋" w:hAnsi="仿宋" w:eastAsia="仿宋"/>
                <w:kern w:val="0"/>
                <w:sz w:val="24"/>
              </w:rPr>
              <w:t>慢性阻塞性肺疾病</w:t>
            </w:r>
          </w:p>
        </w:tc>
        <w:tc>
          <w:tcPr>
            <w:tcW w:w="1180" w:type="dxa"/>
            <w:tcBorders>
              <w:top w:val="nil"/>
              <w:left w:val="nil"/>
              <w:bottom w:val="single" w:color="auto" w:sz="4" w:space="0"/>
              <w:right w:val="single" w:color="auto" w:sz="4" w:space="0"/>
            </w:tcBorders>
            <w:vAlign w:val="center"/>
          </w:tcPr>
          <w:p w14:paraId="6C4EF2D8">
            <w:pPr>
              <w:widowControl/>
              <w:jc w:val="center"/>
              <w:rPr>
                <w:rFonts w:ascii="仿宋" w:hAnsi="仿宋" w:eastAsia="仿宋"/>
                <w:kern w:val="0"/>
                <w:sz w:val="24"/>
              </w:rPr>
            </w:pPr>
            <w:r>
              <w:rPr>
                <w:rFonts w:ascii="仿宋" w:hAnsi="仿宋" w:eastAsia="仿宋"/>
                <w:kern w:val="0"/>
                <w:sz w:val="24"/>
              </w:rPr>
              <w:t>85</w:t>
            </w:r>
          </w:p>
        </w:tc>
        <w:tc>
          <w:tcPr>
            <w:tcW w:w="1394" w:type="dxa"/>
            <w:tcBorders>
              <w:top w:val="nil"/>
              <w:left w:val="nil"/>
              <w:bottom w:val="single" w:color="auto" w:sz="4" w:space="0"/>
              <w:right w:val="single" w:color="auto" w:sz="4" w:space="0"/>
            </w:tcBorders>
            <w:vAlign w:val="center"/>
          </w:tcPr>
          <w:p w14:paraId="07C2642C">
            <w:pPr>
              <w:widowControl/>
              <w:jc w:val="center"/>
              <w:rPr>
                <w:rFonts w:ascii="仿宋" w:hAnsi="仿宋" w:eastAsia="仿宋" w:cs="宋体"/>
                <w:kern w:val="0"/>
                <w:sz w:val="24"/>
              </w:rPr>
            </w:pPr>
            <w:r>
              <w:rPr>
                <w:rFonts w:hint="eastAsia" w:ascii="仿宋" w:hAnsi="仿宋" w:eastAsia="仿宋" w:cs="宋体"/>
                <w:kern w:val="0"/>
                <w:sz w:val="24"/>
              </w:rPr>
              <w:t>5000</w:t>
            </w:r>
          </w:p>
        </w:tc>
        <w:tc>
          <w:tcPr>
            <w:tcW w:w="1174" w:type="dxa"/>
            <w:tcBorders>
              <w:top w:val="nil"/>
              <w:left w:val="nil"/>
              <w:bottom w:val="single" w:color="auto" w:sz="4" w:space="0"/>
              <w:right w:val="single" w:color="auto" w:sz="4" w:space="0"/>
            </w:tcBorders>
            <w:vAlign w:val="center"/>
          </w:tcPr>
          <w:p w14:paraId="260EBCA7">
            <w:pPr>
              <w:widowControl/>
              <w:jc w:val="center"/>
              <w:rPr>
                <w:rFonts w:ascii="仿宋" w:hAnsi="仿宋" w:eastAsia="仿宋" w:cs="宋体"/>
                <w:kern w:val="0"/>
                <w:sz w:val="24"/>
              </w:rPr>
            </w:pPr>
            <w:r>
              <w:rPr>
                <w:rFonts w:hint="eastAsia" w:ascii="仿宋" w:hAnsi="仿宋" w:eastAsia="仿宋" w:cs="宋体"/>
                <w:kern w:val="0"/>
                <w:sz w:val="24"/>
              </w:rPr>
              <w:t>70</w:t>
            </w:r>
          </w:p>
        </w:tc>
        <w:tc>
          <w:tcPr>
            <w:tcW w:w="1560" w:type="dxa"/>
            <w:tcBorders>
              <w:top w:val="nil"/>
              <w:left w:val="nil"/>
              <w:bottom w:val="single" w:color="auto" w:sz="4" w:space="0"/>
              <w:right w:val="single" w:color="auto" w:sz="4" w:space="0"/>
            </w:tcBorders>
            <w:vAlign w:val="center"/>
          </w:tcPr>
          <w:p w14:paraId="797F09AA">
            <w:pPr>
              <w:widowControl/>
              <w:jc w:val="center"/>
              <w:rPr>
                <w:rFonts w:ascii="仿宋" w:hAnsi="仿宋" w:eastAsia="仿宋" w:cs="宋体"/>
                <w:kern w:val="0"/>
                <w:sz w:val="24"/>
              </w:rPr>
            </w:pPr>
            <w:r>
              <w:rPr>
                <w:rFonts w:hint="eastAsia" w:ascii="仿宋" w:hAnsi="仿宋" w:eastAsia="仿宋" w:cs="宋体"/>
                <w:kern w:val="0"/>
                <w:sz w:val="24"/>
              </w:rPr>
              <w:t>4000</w:t>
            </w:r>
          </w:p>
        </w:tc>
        <w:tc>
          <w:tcPr>
            <w:tcW w:w="1487" w:type="dxa"/>
            <w:tcBorders>
              <w:top w:val="nil"/>
              <w:left w:val="nil"/>
              <w:bottom w:val="single" w:color="auto" w:sz="4" w:space="0"/>
              <w:right w:val="single" w:color="auto" w:sz="4" w:space="0"/>
            </w:tcBorders>
            <w:vAlign w:val="center"/>
          </w:tcPr>
          <w:p w14:paraId="1B3785A1">
            <w:pPr>
              <w:widowControl/>
              <w:jc w:val="center"/>
              <w:rPr>
                <w:rFonts w:ascii="仿宋" w:hAnsi="仿宋" w:eastAsia="仿宋" w:cs="宋体"/>
                <w:kern w:val="0"/>
                <w:sz w:val="24"/>
              </w:rPr>
            </w:pPr>
            <w:r>
              <w:rPr>
                <w:rFonts w:hint="eastAsia" w:ascii="仿宋" w:hAnsi="仿宋" w:eastAsia="仿宋" w:cs="宋体"/>
                <w:kern w:val="0"/>
                <w:sz w:val="24"/>
              </w:rPr>
              <w:t>3年</w:t>
            </w:r>
          </w:p>
        </w:tc>
      </w:tr>
      <w:tr w14:paraId="1D74105D">
        <w:tblPrEx>
          <w:tblCellMar>
            <w:top w:w="0" w:type="dxa"/>
            <w:left w:w="0" w:type="dxa"/>
            <w:bottom w:w="0" w:type="dxa"/>
            <w:right w:w="0" w:type="dxa"/>
          </w:tblCellMar>
        </w:tblPrEx>
        <w:trPr>
          <w:trHeight w:val="465" w:hRule="atLeast"/>
          <w:jc w:val="right"/>
        </w:trPr>
        <w:tc>
          <w:tcPr>
            <w:tcW w:w="755" w:type="dxa"/>
            <w:tcBorders>
              <w:top w:val="nil"/>
              <w:left w:val="single" w:color="auto" w:sz="4" w:space="0"/>
              <w:bottom w:val="single" w:color="auto" w:sz="4" w:space="0"/>
              <w:right w:val="single" w:color="auto" w:sz="4" w:space="0"/>
            </w:tcBorders>
            <w:shd w:val="clear" w:color="auto" w:fill="auto"/>
            <w:vAlign w:val="center"/>
          </w:tcPr>
          <w:p w14:paraId="01591BBF">
            <w:pPr>
              <w:widowControl/>
              <w:jc w:val="center"/>
              <w:rPr>
                <w:rFonts w:ascii="仿宋" w:hAnsi="仿宋" w:eastAsia="仿宋"/>
                <w:kern w:val="0"/>
                <w:sz w:val="24"/>
              </w:rPr>
            </w:pPr>
            <w:r>
              <w:rPr>
                <w:rFonts w:ascii="仿宋" w:hAnsi="仿宋" w:eastAsia="仿宋"/>
                <w:kern w:val="0"/>
                <w:sz w:val="24"/>
              </w:rPr>
              <w:t>29</w:t>
            </w:r>
          </w:p>
        </w:tc>
        <w:tc>
          <w:tcPr>
            <w:tcW w:w="822" w:type="dxa"/>
            <w:vMerge w:val="continue"/>
            <w:tcBorders>
              <w:left w:val="single" w:color="auto" w:sz="4" w:space="0"/>
              <w:right w:val="single" w:color="auto" w:sz="4" w:space="0"/>
            </w:tcBorders>
            <w:shd w:val="clear" w:color="auto" w:fill="auto"/>
            <w:vAlign w:val="center"/>
          </w:tcPr>
          <w:p w14:paraId="3C642032">
            <w:pPr>
              <w:jc w:val="center"/>
              <w:rPr>
                <w:rFonts w:ascii="仿宋" w:hAnsi="仿宋" w:eastAsia="仿宋"/>
                <w:kern w:val="0"/>
                <w:sz w:val="24"/>
              </w:rPr>
            </w:pPr>
          </w:p>
        </w:tc>
        <w:tc>
          <w:tcPr>
            <w:tcW w:w="1386" w:type="dxa"/>
            <w:tcBorders>
              <w:top w:val="nil"/>
              <w:left w:val="nil"/>
              <w:bottom w:val="single" w:color="auto" w:sz="4" w:space="0"/>
              <w:right w:val="single" w:color="auto" w:sz="4" w:space="0"/>
            </w:tcBorders>
            <w:shd w:val="clear" w:color="000000" w:fill="FFFFFF"/>
            <w:vAlign w:val="center"/>
          </w:tcPr>
          <w:p w14:paraId="481953E0">
            <w:pPr>
              <w:widowControl/>
              <w:jc w:val="center"/>
              <w:rPr>
                <w:rFonts w:ascii="仿宋" w:hAnsi="仿宋" w:eastAsia="仿宋"/>
                <w:kern w:val="0"/>
                <w:sz w:val="24"/>
              </w:rPr>
            </w:pPr>
            <w:r>
              <w:rPr>
                <w:rFonts w:ascii="仿宋" w:hAnsi="仿宋" w:eastAsia="仿宋"/>
                <w:kern w:val="0"/>
                <w:sz w:val="24"/>
              </w:rPr>
              <w:t>M05400</w:t>
            </w:r>
          </w:p>
        </w:tc>
        <w:tc>
          <w:tcPr>
            <w:tcW w:w="3598" w:type="dxa"/>
            <w:tcBorders>
              <w:top w:val="nil"/>
              <w:left w:val="nil"/>
              <w:bottom w:val="single" w:color="auto" w:sz="4" w:space="0"/>
              <w:right w:val="single" w:color="auto" w:sz="4" w:space="0"/>
            </w:tcBorders>
            <w:shd w:val="clear" w:color="000000" w:fill="FFFFFF"/>
            <w:vAlign w:val="center"/>
          </w:tcPr>
          <w:p w14:paraId="45E00090">
            <w:pPr>
              <w:widowControl/>
              <w:jc w:val="center"/>
              <w:rPr>
                <w:rFonts w:ascii="仿宋" w:hAnsi="仿宋" w:eastAsia="仿宋"/>
                <w:kern w:val="0"/>
                <w:sz w:val="24"/>
              </w:rPr>
            </w:pPr>
            <w:r>
              <w:rPr>
                <w:rFonts w:ascii="仿宋" w:hAnsi="仿宋" w:eastAsia="仿宋"/>
                <w:kern w:val="0"/>
                <w:sz w:val="24"/>
              </w:rPr>
              <w:t>支气管哮喘</w:t>
            </w:r>
          </w:p>
        </w:tc>
        <w:tc>
          <w:tcPr>
            <w:tcW w:w="1180" w:type="dxa"/>
            <w:tcBorders>
              <w:top w:val="nil"/>
              <w:left w:val="nil"/>
              <w:bottom w:val="single" w:color="auto" w:sz="4" w:space="0"/>
              <w:right w:val="single" w:color="auto" w:sz="4" w:space="0"/>
            </w:tcBorders>
            <w:vAlign w:val="center"/>
          </w:tcPr>
          <w:p w14:paraId="025BDCB8">
            <w:pPr>
              <w:widowControl/>
              <w:jc w:val="center"/>
              <w:rPr>
                <w:rFonts w:ascii="仿宋" w:hAnsi="仿宋" w:eastAsia="仿宋"/>
                <w:kern w:val="0"/>
                <w:sz w:val="24"/>
              </w:rPr>
            </w:pPr>
            <w:r>
              <w:rPr>
                <w:rFonts w:ascii="仿宋" w:hAnsi="仿宋" w:eastAsia="仿宋"/>
                <w:kern w:val="0"/>
                <w:sz w:val="24"/>
              </w:rPr>
              <w:t>85</w:t>
            </w:r>
          </w:p>
        </w:tc>
        <w:tc>
          <w:tcPr>
            <w:tcW w:w="1394" w:type="dxa"/>
            <w:tcBorders>
              <w:top w:val="nil"/>
              <w:left w:val="nil"/>
              <w:bottom w:val="single" w:color="auto" w:sz="4" w:space="0"/>
              <w:right w:val="single" w:color="auto" w:sz="4" w:space="0"/>
            </w:tcBorders>
            <w:vAlign w:val="center"/>
          </w:tcPr>
          <w:p w14:paraId="6B049393">
            <w:pPr>
              <w:widowControl/>
              <w:jc w:val="center"/>
              <w:rPr>
                <w:rFonts w:ascii="仿宋" w:hAnsi="仿宋" w:eastAsia="仿宋" w:cs="宋体"/>
                <w:kern w:val="0"/>
                <w:sz w:val="24"/>
              </w:rPr>
            </w:pPr>
            <w:r>
              <w:rPr>
                <w:rFonts w:hint="eastAsia" w:ascii="仿宋" w:hAnsi="仿宋" w:eastAsia="仿宋" w:cs="宋体"/>
                <w:kern w:val="0"/>
                <w:sz w:val="24"/>
              </w:rPr>
              <w:t>3500</w:t>
            </w:r>
          </w:p>
        </w:tc>
        <w:tc>
          <w:tcPr>
            <w:tcW w:w="1174" w:type="dxa"/>
            <w:tcBorders>
              <w:top w:val="nil"/>
              <w:left w:val="nil"/>
              <w:bottom w:val="single" w:color="auto" w:sz="4" w:space="0"/>
              <w:right w:val="single" w:color="auto" w:sz="4" w:space="0"/>
            </w:tcBorders>
            <w:vAlign w:val="center"/>
          </w:tcPr>
          <w:p w14:paraId="7B68050C">
            <w:pPr>
              <w:widowControl/>
              <w:jc w:val="center"/>
              <w:rPr>
                <w:rFonts w:ascii="仿宋" w:hAnsi="仿宋" w:eastAsia="仿宋" w:cs="宋体"/>
                <w:kern w:val="0"/>
                <w:sz w:val="24"/>
              </w:rPr>
            </w:pPr>
            <w:r>
              <w:rPr>
                <w:rFonts w:hint="eastAsia" w:ascii="仿宋" w:hAnsi="仿宋" w:eastAsia="仿宋" w:cs="宋体"/>
                <w:kern w:val="0"/>
                <w:sz w:val="24"/>
              </w:rPr>
              <w:t>70</w:t>
            </w:r>
          </w:p>
        </w:tc>
        <w:tc>
          <w:tcPr>
            <w:tcW w:w="1560" w:type="dxa"/>
            <w:tcBorders>
              <w:top w:val="nil"/>
              <w:left w:val="nil"/>
              <w:bottom w:val="single" w:color="auto" w:sz="4" w:space="0"/>
              <w:right w:val="single" w:color="auto" w:sz="4" w:space="0"/>
            </w:tcBorders>
            <w:vAlign w:val="center"/>
          </w:tcPr>
          <w:p w14:paraId="730D10C8">
            <w:pPr>
              <w:widowControl/>
              <w:jc w:val="center"/>
              <w:rPr>
                <w:rFonts w:ascii="仿宋" w:hAnsi="仿宋" w:eastAsia="仿宋" w:cs="宋体"/>
                <w:kern w:val="0"/>
                <w:sz w:val="24"/>
              </w:rPr>
            </w:pPr>
            <w:r>
              <w:rPr>
                <w:rFonts w:hint="eastAsia" w:ascii="仿宋" w:hAnsi="仿宋" w:eastAsia="仿宋" w:cs="宋体"/>
                <w:kern w:val="0"/>
                <w:sz w:val="24"/>
              </w:rPr>
              <w:t>3000</w:t>
            </w:r>
          </w:p>
        </w:tc>
        <w:tc>
          <w:tcPr>
            <w:tcW w:w="1487" w:type="dxa"/>
            <w:tcBorders>
              <w:top w:val="nil"/>
              <w:left w:val="nil"/>
              <w:bottom w:val="single" w:color="auto" w:sz="4" w:space="0"/>
              <w:right w:val="single" w:color="auto" w:sz="4" w:space="0"/>
            </w:tcBorders>
            <w:vAlign w:val="center"/>
          </w:tcPr>
          <w:p w14:paraId="55F12488">
            <w:pPr>
              <w:widowControl/>
              <w:jc w:val="center"/>
              <w:rPr>
                <w:rFonts w:ascii="仿宋" w:hAnsi="仿宋" w:eastAsia="仿宋" w:cs="宋体"/>
                <w:kern w:val="0"/>
                <w:sz w:val="24"/>
              </w:rPr>
            </w:pPr>
            <w:r>
              <w:rPr>
                <w:rFonts w:hint="eastAsia" w:ascii="仿宋" w:hAnsi="仿宋" w:eastAsia="仿宋" w:cs="宋体"/>
                <w:kern w:val="0"/>
                <w:sz w:val="24"/>
              </w:rPr>
              <w:t>3年</w:t>
            </w:r>
          </w:p>
        </w:tc>
      </w:tr>
      <w:tr w14:paraId="0D6E0204">
        <w:tblPrEx>
          <w:tblCellMar>
            <w:top w:w="0" w:type="dxa"/>
            <w:left w:w="0" w:type="dxa"/>
            <w:bottom w:w="0" w:type="dxa"/>
            <w:right w:w="0" w:type="dxa"/>
          </w:tblCellMar>
        </w:tblPrEx>
        <w:trPr>
          <w:trHeight w:val="465" w:hRule="atLeast"/>
          <w:jc w:val="right"/>
        </w:trPr>
        <w:tc>
          <w:tcPr>
            <w:tcW w:w="755" w:type="dxa"/>
            <w:tcBorders>
              <w:top w:val="nil"/>
              <w:left w:val="single" w:color="auto" w:sz="4" w:space="0"/>
              <w:bottom w:val="single" w:color="auto" w:sz="4" w:space="0"/>
              <w:right w:val="single" w:color="auto" w:sz="4" w:space="0"/>
            </w:tcBorders>
            <w:shd w:val="clear" w:color="auto" w:fill="auto"/>
            <w:vAlign w:val="center"/>
          </w:tcPr>
          <w:p w14:paraId="764DDE77">
            <w:pPr>
              <w:widowControl/>
              <w:jc w:val="center"/>
              <w:rPr>
                <w:rFonts w:ascii="仿宋" w:hAnsi="仿宋" w:eastAsia="仿宋"/>
                <w:kern w:val="0"/>
                <w:sz w:val="24"/>
              </w:rPr>
            </w:pPr>
            <w:r>
              <w:rPr>
                <w:rFonts w:ascii="仿宋" w:hAnsi="仿宋" w:eastAsia="仿宋"/>
                <w:kern w:val="0"/>
                <w:sz w:val="24"/>
              </w:rPr>
              <w:t>30</w:t>
            </w:r>
          </w:p>
        </w:tc>
        <w:tc>
          <w:tcPr>
            <w:tcW w:w="822" w:type="dxa"/>
            <w:vMerge w:val="continue"/>
            <w:tcBorders>
              <w:left w:val="single" w:color="auto" w:sz="4" w:space="0"/>
              <w:right w:val="single" w:color="auto" w:sz="4" w:space="0"/>
            </w:tcBorders>
            <w:shd w:val="clear" w:color="auto" w:fill="auto"/>
            <w:vAlign w:val="center"/>
          </w:tcPr>
          <w:p w14:paraId="06AB2C1E">
            <w:pPr>
              <w:jc w:val="center"/>
              <w:rPr>
                <w:rFonts w:ascii="仿宋" w:hAnsi="仿宋" w:eastAsia="仿宋"/>
                <w:kern w:val="0"/>
                <w:sz w:val="24"/>
              </w:rPr>
            </w:pPr>
          </w:p>
        </w:tc>
        <w:tc>
          <w:tcPr>
            <w:tcW w:w="1386" w:type="dxa"/>
            <w:tcBorders>
              <w:top w:val="nil"/>
              <w:left w:val="nil"/>
              <w:bottom w:val="single" w:color="auto" w:sz="4" w:space="0"/>
              <w:right w:val="single" w:color="auto" w:sz="4" w:space="0"/>
            </w:tcBorders>
            <w:shd w:val="clear" w:color="000000" w:fill="FFFFFF"/>
            <w:vAlign w:val="center"/>
          </w:tcPr>
          <w:p w14:paraId="6D272E35">
            <w:pPr>
              <w:widowControl/>
              <w:jc w:val="center"/>
              <w:rPr>
                <w:rFonts w:ascii="仿宋" w:hAnsi="仿宋" w:eastAsia="仿宋"/>
                <w:kern w:val="0"/>
                <w:sz w:val="24"/>
              </w:rPr>
            </w:pPr>
            <w:r>
              <w:rPr>
                <w:rFonts w:ascii="仿宋" w:hAnsi="仿宋" w:eastAsia="仿宋"/>
                <w:kern w:val="0"/>
                <w:sz w:val="24"/>
              </w:rPr>
              <w:t>M00101</w:t>
            </w:r>
          </w:p>
        </w:tc>
        <w:tc>
          <w:tcPr>
            <w:tcW w:w="3598" w:type="dxa"/>
            <w:tcBorders>
              <w:top w:val="nil"/>
              <w:left w:val="nil"/>
              <w:bottom w:val="single" w:color="auto" w:sz="4" w:space="0"/>
              <w:right w:val="single" w:color="auto" w:sz="4" w:space="0"/>
            </w:tcBorders>
            <w:vAlign w:val="center"/>
          </w:tcPr>
          <w:p w14:paraId="7DF53534">
            <w:pPr>
              <w:widowControl/>
              <w:jc w:val="center"/>
              <w:rPr>
                <w:rFonts w:ascii="仿宋" w:hAnsi="仿宋" w:eastAsia="仿宋"/>
                <w:kern w:val="0"/>
                <w:sz w:val="24"/>
              </w:rPr>
            </w:pPr>
            <w:r>
              <w:rPr>
                <w:rFonts w:ascii="仿宋" w:hAnsi="仿宋" w:eastAsia="仿宋"/>
                <w:kern w:val="0"/>
                <w:sz w:val="24"/>
              </w:rPr>
              <w:t>耐药性结核病</w:t>
            </w:r>
          </w:p>
        </w:tc>
        <w:tc>
          <w:tcPr>
            <w:tcW w:w="1180" w:type="dxa"/>
            <w:tcBorders>
              <w:top w:val="nil"/>
              <w:left w:val="nil"/>
              <w:bottom w:val="single" w:color="auto" w:sz="4" w:space="0"/>
              <w:right w:val="single" w:color="auto" w:sz="4" w:space="0"/>
            </w:tcBorders>
            <w:vAlign w:val="center"/>
          </w:tcPr>
          <w:p w14:paraId="02CF2F96">
            <w:pPr>
              <w:widowControl/>
              <w:jc w:val="center"/>
              <w:rPr>
                <w:rFonts w:ascii="仿宋" w:hAnsi="仿宋" w:eastAsia="仿宋"/>
                <w:kern w:val="0"/>
                <w:sz w:val="24"/>
              </w:rPr>
            </w:pPr>
            <w:r>
              <w:rPr>
                <w:rFonts w:ascii="仿宋" w:hAnsi="仿宋" w:eastAsia="仿宋"/>
                <w:kern w:val="0"/>
                <w:sz w:val="24"/>
              </w:rPr>
              <w:t>85</w:t>
            </w:r>
          </w:p>
        </w:tc>
        <w:tc>
          <w:tcPr>
            <w:tcW w:w="1394" w:type="dxa"/>
            <w:tcBorders>
              <w:top w:val="nil"/>
              <w:left w:val="nil"/>
              <w:bottom w:val="single" w:color="auto" w:sz="4" w:space="0"/>
              <w:right w:val="single" w:color="auto" w:sz="4" w:space="0"/>
            </w:tcBorders>
            <w:vAlign w:val="center"/>
          </w:tcPr>
          <w:p w14:paraId="010B4012">
            <w:pPr>
              <w:widowControl/>
              <w:jc w:val="center"/>
              <w:rPr>
                <w:rFonts w:ascii="仿宋" w:hAnsi="仿宋" w:eastAsia="仿宋" w:cs="宋体"/>
                <w:kern w:val="0"/>
                <w:sz w:val="24"/>
              </w:rPr>
            </w:pPr>
            <w:r>
              <w:rPr>
                <w:rFonts w:hint="eastAsia" w:ascii="仿宋" w:hAnsi="仿宋" w:eastAsia="仿宋" w:cs="宋体"/>
                <w:kern w:val="0"/>
                <w:sz w:val="24"/>
              </w:rPr>
              <w:t>6000</w:t>
            </w:r>
          </w:p>
        </w:tc>
        <w:tc>
          <w:tcPr>
            <w:tcW w:w="1174" w:type="dxa"/>
            <w:tcBorders>
              <w:top w:val="nil"/>
              <w:left w:val="nil"/>
              <w:bottom w:val="single" w:color="auto" w:sz="4" w:space="0"/>
              <w:right w:val="single" w:color="auto" w:sz="4" w:space="0"/>
            </w:tcBorders>
            <w:vAlign w:val="center"/>
          </w:tcPr>
          <w:p w14:paraId="6419FA51">
            <w:pPr>
              <w:widowControl/>
              <w:jc w:val="center"/>
              <w:rPr>
                <w:rFonts w:ascii="仿宋" w:hAnsi="仿宋" w:eastAsia="仿宋" w:cs="宋体"/>
                <w:kern w:val="0"/>
                <w:sz w:val="24"/>
              </w:rPr>
            </w:pPr>
            <w:r>
              <w:rPr>
                <w:rFonts w:hint="eastAsia" w:ascii="仿宋" w:hAnsi="仿宋" w:eastAsia="仿宋" w:cs="宋体"/>
                <w:kern w:val="0"/>
                <w:sz w:val="24"/>
              </w:rPr>
              <w:t>70</w:t>
            </w:r>
          </w:p>
        </w:tc>
        <w:tc>
          <w:tcPr>
            <w:tcW w:w="1560" w:type="dxa"/>
            <w:tcBorders>
              <w:top w:val="nil"/>
              <w:left w:val="nil"/>
              <w:bottom w:val="single" w:color="auto" w:sz="4" w:space="0"/>
              <w:right w:val="single" w:color="auto" w:sz="4" w:space="0"/>
            </w:tcBorders>
            <w:vAlign w:val="center"/>
          </w:tcPr>
          <w:p w14:paraId="109465E5">
            <w:pPr>
              <w:widowControl/>
              <w:jc w:val="center"/>
              <w:rPr>
                <w:rFonts w:ascii="仿宋" w:hAnsi="仿宋" w:eastAsia="仿宋" w:cs="宋体"/>
                <w:kern w:val="0"/>
                <w:sz w:val="24"/>
              </w:rPr>
            </w:pPr>
            <w:r>
              <w:rPr>
                <w:rFonts w:hint="eastAsia" w:ascii="仿宋" w:hAnsi="仿宋" w:eastAsia="仿宋" w:cs="宋体"/>
                <w:kern w:val="0"/>
                <w:sz w:val="24"/>
              </w:rPr>
              <w:t>4000</w:t>
            </w:r>
          </w:p>
        </w:tc>
        <w:tc>
          <w:tcPr>
            <w:tcW w:w="1487" w:type="dxa"/>
            <w:tcBorders>
              <w:top w:val="nil"/>
              <w:left w:val="nil"/>
              <w:bottom w:val="single" w:color="auto" w:sz="4" w:space="0"/>
              <w:right w:val="single" w:color="auto" w:sz="4" w:space="0"/>
            </w:tcBorders>
            <w:vAlign w:val="center"/>
          </w:tcPr>
          <w:p w14:paraId="57941D8B">
            <w:pPr>
              <w:widowControl/>
              <w:jc w:val="center"/>
              <w:rPr>
                <w:rFonts w:ascii="仿宋" w:hAnsi="仿宋" w:eastAsia="仿宋" w:cs="宋体"/>
                <w:kern w:val="0"/>
                <w:sz w:val="24"/>
              </w:rPr>
            </w:pPr>
            <w:r>
              <w:rPr>
                <w:rFonts w:hint="eastAsia" w:ascii="仿宋" w:hAnsi="仿宋" w:eastAsia="仿宋" w:cs="宋体"/>
                <w:kern w:val="0"/>
                <w:sz w:val="24"/>
              </w:rPr>
              <w:t>2年</w:t>
            </w:r>
          </w:p>
        </w:tc>
      </w:tr>
      <w:tr w14:paraId="778F1964">
        <w:tblPrEx>
          <w:tblCellMar>
            <w:top w:w="0" w:type="dxa"/>
            <w:left w:w="0" w:type="dxa"/>
            <w:bottom w:w="0" w:type="dxa"/>
            <w:right w:w="0" w:type="dxa"/>
          </w:tblCellMar>
        </w:tblPrEx>
        <w:trPr>
          <w:trHeight w:val="465" w:hRule="atLeast"/>
          <w:jc w:val="right"/>
        </w:trPr>
        <w:tc>
          <w:tcPr>
            <w:tcW w:w="755" w:type="dxa"/>
            <w:tcBorders>
              <w:top w:val="nil"/>
              <w:left w:val="single" w:color="auto" w:sz="4" w:space="0"/>
              <w:bottom w:val="single" w:color="auto" w:sz="4" w:space="0"/>
              <w:right w:val="single" w:color="auto" w:sz="4" w:space="0"/>
            </w:tcBorders>
            <w:shd w:val="clear" w:color="auto" w:fill="auto"/>
            <w:vAlign w:val="center"/>
          </w:tcPr>
          <w:p w14:paraId="61181FE4">
            <w:pPr>
              <w:widowControl/>
              <w:jc w:val="center"/>
              <w:rPr>
                <w:rFonts w:ascii="仿宋" w:hAnsi="仿宋" w:eastAsia="仿宋"/>
                <w:kern w:val="0"/>
                <w:sz w:val="24"/>
              </w:rPr>
            </w:pPr>
            <w:r>
              <w:rPr>
                <w:rFonts w:ascii="仿宋" w:hAnsi="仿宋" w:eastAsia="仿宋"/>
                <w:kern w:val="0"/>
                <w:sz w:val="24"/>
              </w:rPr>
              <w:t>31</w:t>
            </w:r>
          </w:p>
        </w:tc>
        <w:tc>
          <w:tcPr>
            <w:tcW w:w="822" w:type="dxa"/>
            <w:vMerge w:val="continue"/>
            <w:tcBorders>
              <w:left w:val="single" w:color="auto" w:sz="4" w:space="0"/>
              <w:right w:val="single" w:color="auto" w:sz="4" w:space="0"/>
            </w:tcBorders>
            <w:shd w:val="clear" w:color="auto" w:fill="auto"/>
            <w:vAlign w:val="center"/>
          </w:tcPr>
          <w:p w14:paraId="7A18D04A">
            <w:pPr>
              <w:jc w:val="center"/>
              <w:rPr>
                <w:rFonts w:ascii="仿宋" w:hAnsi="仿宋" w:eastAsia="仿宋"/>
                <w:kern w:val="0"/>
                <w:sz w:val="24"/>
              </w:rPr>
            </w:pPr>
          </w:p>
        </w:tc>
        <w:tc>
          <w:tcPr>
            <w:tcW w:w="1386" w:type="dxa"/>
            <w:tcBorders>
              <w:top w:val="nil"/>
              <w:left w:val="nil"/>
              <w:bottom w:val="single" w:color="auto" w:sz="4" w:space="0"/>
              <w:right w:val="single" w:color="auto" w:sz="4" w:space="0"/>
            </w:tcBorders>
            <w:shd w:val="clear" w:color="000000" w:fill="FFFFFF"/>
            <w:vAlign w:val="center"/>
          </w:tcPr>
          <w:p w14:paraId="33E657A6">
            <w:pPr>
              <w:widowControl/>
              <w:jc w:val="center"/>
              <w:rPr>
                <w:rFonts w:ascii="仿宋" w:hAnsi="仿宋" w:eastAsia="仿宋"/>
                <w:kern w:val="0"/>
                <w:sz w:val="24"/>
              </w:rPr>
            </w:pPr>
            <w:r>
              <w:rPr>
                <w:rFonts w:ascii="仿宋" w:hAnsi="仿宋" w:eastAsia="仿宋"/>
                <w:kern w:val="0"/>
                <w:sz w:val="24"/>
              </w:rPr>
              <w:t>M00105</w:t>
            </w:r>
          </w:p>
        </w:tc>
        <w:tc>
          <w:tcPr>
            <w:tcW w:w="3598" w:type="dxa"/>
            <w:tcBorders>
              <w:top w:val="nil"/>
              <w:left w:val="nil"/>
              <w:bottom w:val="single" w:color="auto" w:sz="4" w:space="0"/>
              <w:right w:val="single" w:color="auto" w:sz="4" w:space="0"/>
            </w:tcBorders>
            <w:shd w:val="clear" w:color="000000" w:fill="FFFFFF"/>
            <w:vAlign w:val="center"/>
          </w:tcPr>
          <w:p w14:paraId="1BD1AFDA">
            <w:pPr>
              <w:widowControl/>
              <w:jc w:val="center"/>
              <w:rPr>
                <w:rFonts w:ascii="仿宋" w:hAnsi="仿宋" w:eastAsia="仿宋"/>
                <w:kern w:val="0"/>
                <w:sz w:val="24"/>
              </w:rPr>
            </w:pPr>
            <w:r>
              <w:rPr>
                <w:rFonts w:ascii="仿宋" w:hAnsi="仿宋" w:eastAsia="仿宋"/>
                <w:kern w:val="0"/>
                <w:sz w:val="24"/>
              </w:rPr>
              <w:t>肺结核</w:t>
            </w:r>
          </w:p>
        </w:tc>
        <w:tc>
          <w:tcPr>
            <w:tcW w:w="1180" w:type="dxa"/>
            <w:tcBorders>
              <w:top w:val="nil"/>
              <w:left w:val="nil"/>
              <w:bottom w:val="single" w:color="auto" w:sz="4" w:space="0"/>
              <w:right w:val="single" w:color="auto" w:sz="4" w:space="0"/>
            </w:tcBorders>
            <w:vAlign w:val="center"/>
          </w:tcPr>
          <w:p w14:paraId="23F44CB5">
            <w:pPr>
              <w:widowControl/>
              <w:jc w:val="center"/>
              <w:rPr>
                <w:rFonts w:ascii="仿宋" w:hAnsi="仿宋" w:eastAsia="仿宋"/>
                <w:kern w:val="0"/>
                <w:sz w:val="24"/>
              </w:rPr>
            </w:pPr>
            <w:r>
              <w:rPr>
                <w:rFonts w:ascii="仿宋" w:hAnsi="仿宋" w:eastAsia="仿宋"/>
                <w:kern w:val="0"/>
                <w:sz w:val="24"/>
              </w:rPr>
              <w:t>85</w:t>
            </w:r>
          </w:p>
        </w:tc>
        <w:tc>
          <w:tcPr>
            <w:tcW w:w="1394" w:type="dxa"/>
            <w:tcBorders>
              <w:top w:val="nil"/>
              <w:left w:val="nil"/>
              <w:bottom w:val="single" w:color="auto" w:sz="4" w:space="0"/>
              <w:right w:val="single" w:color="auto" w:sz="4" w:space="0"/>
            </w:tcBorders>
            <w:vAlign w:val="center"/>
          </w:tcPr>
          <w:p w14:paraId="3F1BF028">
            <w:pPr>
              <w:widowControl/>
              <w:jc w:val="center"/>
              <w:rPr>
                <w:rFonts w:ascii="仿宋" w:hAnsi="仿宋" w:eastAsia="仿宋" w:cs="宋体"/>
                <w:kern w:val="0"/>
                <w:sz w:val="24"/>
              </w:rPr>
            </w:pPr>
            <w:r>
              <w:rPr>
                <w:rFonts w:hint="eastAsia" w:ascii="仿宋" w:hAnsi="仿宋" w:eastAsia="仿宋" w:cs="宋体"/>
                <w:kern w:val="0"/>
                <w:sz w:val="24"/>
              </w:rPr>
              <w:t>3000</w:t>
            </w:r>
          </w:p>
        </w:tc>
        <w:tc>
          <w:tcPr>
            <w:tcW w:w="1174" w:type="dxa"/>
            <w:tcBorders>
              <w:top w:val="nil"/>
              <w:left w:val="nil"/>
              <w:bottom w:val="single" w:color="auto" w:sz="4" w:space="0"/>
              <w:right w:val="single" w:color="auto" w:sz="4" w:space="0"/>
            </w:tcBorders>
            <w:vAlign w:val="center"/>
          </w:tcPr>
          <w:p w14:paraId="15C9D1C5">
            <w:pPr>
              <w:widowControl/>
              <w:jc w:val="center"/>
              <w:rPr>
                <w:rFonts w:ascii="仿宋" w:hAnsi="仿宋" w:eastAsia="仿宋" w:cs="宋体"/>
                <w:kern w:val="0"/>
                <w:sz w:val="24"/>
              </w:rPr>
            </w:pPr>
            <w:r>
              <w:rPr>
                <w:rFonts w:hint="eastAsia" w:ascii="仿宋" w:hAnsi="仿宋" w:eastAsia="仿宋" w:cs="宋体"/>
                <w:kern w:val="0"/>
                <w:sz w:val="24"/>
              </w:rPr>
              <w:t>70</w:t>
            </w:r>
          </w:p>
        </w:tc>
        <w:tc>
          <w:tcPr>
            <w:tcW w:w="1560" w:type="dxa"/>
            <w:tcBorders>
              <w:top w:val="nil"/>
              <w:left w:val="nil"/>
              <w:bottom w:val="single" w:color="auto" w:sz="4" w:space="0"/>
              <w:right w:val="single" w:color="auto" w:sz="4" w:space="0"/>
            </w:tcBorders>
            <w:vAlign w:val="center"/>
          </w:tcPr>
          <w:p w14:paraId="733A7FF3">
            <w:pPr>
              <w:widowControl/>
              <w:jc w:val="center"/>
              <w:rPr>
                <w:rFonts w:ascii="仿宋" w:hAnsi="仿宋" w:eastAsia="仿宋" w:cs="宋体"/>
                <w:kern w:val="0"/>
                <w:sz w:val="24"/>
              </w:rPr>
            </w:pPr>
            <w:r>
              <w:rPr>
                <w:rFonts w:hint="eastAsia" w:ascii="仿宋" w:hAnsi="仿宋" w:eastAsia="仿宋" w:cs="宋体"/>
                <w:kern w:val="0"/>
                <w:sz w:val="24"/>
              </w:rPr>
              <w:t>2000</w:t>
            </w:r>
          </w:p>
        </w:tc>
        <w:tc>
          <w:tcPr>
            <w:tcW w:w="1487" w:type="dxa"/>
            <w:tcBorders>
              <w:top w:val="nil"/>
              <w:left w:val="nil"/>
              <w:bottom w:val="single" w:color="auto" w:sz="4" w:space="0"/>
              <w:right w:val="single" w:color="auto" w:sz="4" w:space="0"/>
            </w:tcBorders>
            <w:vAlign w:val="center"/>
          </w:tcPr>
          <w:p w14:paraId="4913F506">
            <w:pPr>
              <w:widowControl/>
              <w:jc w:val="center"/>
              <w:rPr>
                <w:rFonts w:ascii="仿宋" w:hAnsi="仿宋" w:eastAsia="仿宋" w:cs="宋体"/>
                <w:kern w:val="0"/>
                <w:sz w:val="24"/>
              </w:rPr>
            </w:pPr>
            <w:r>
              <w:rPr>
                <w:rFonts w:hint="eastAsia" w:ascii="仿宋" w:hAnsi="仿宋" w:eastAsia="仿宋" w:cs="宋体"/>
                <w:kern w:val="0"/>
                <w:sz w:val="24"/>
              </w:rPr>
              <w:t>1年</w:t>
            </w:r>
          </w:p>
        </w:tc>
      </w:tr>
      <w:tr w14:paraId="753A242E">
        <w:tblPrEx>
          <w:tblCellMar>
            <w:top w:w="0" w:type="dxa"/>
            <w:left w:w="0" w:type="dxa"/>
            <w:bottom w:w="0" w:type="dxa"/>
            <w:right w:w="0" w:type="dxa"/>
          </w:tblCellMar>
        </w:tblPrEx>
        <w:trPr>
          <w:trHeight w:val="465" w:hRule="atLeast"/>
          <w:jc w:val="right"/>
        </w:trPr>
        <w:tc>
          <w:tcPr>
            <w:tcW w:w="755" w:type="dxa"/>
            <w:tcBorders>
              <w:top w:val="nil"/>
              <w:left w:val="single" w:color="auto" w:sz="4" w:space="0"/>
              <w:bottom w:val="single" w:color="auto" w:sz="4" w:space="0"/>
              <w:right w:val="single" w:color="auto" w:sz="4" w:space="0"/>
            </w:tcBorders>
            <w:shd w:val="clear" w:color="auto" w:fill="auto"/>
            <w:vAlign w:val="center"/>
          </w:tcPr>
          <w:p w14:paraId="68453241">
            <w:pPr>
              <w:widowControl/>
              <w:jc w:val="center"/>
              <w:rPr>
                <w:rFonts w:ascii="仿宋" w:hAnsi="仿宋" w:eastAsia="仿宋"/>
                <w:kern w:val="0"/>
                <w:sz w:val="24"/>
              </w:rPr>
            </w:pPr>
            <w:r>
              <w:rPr>
                <w:rFonts w:ascii="仿宋" w:hAnsi="仿宋" w:eastAsia="仿宋"/>
                <w:kern w:val="0"/>
                <w:sz w:val="24"/>
              </w:rPr>
              <w:t>32</w:t>
            </w:r>
          </w:p>
        </w:tc>
        <w:tc>
          <w:tcPr>
            <w:tcW w:w="822" w:type="dxa"/>
            <w:vMerge w:val="continue"/>
            <w:tcBorders>
              <w:left w:val="single" w:color="auto" w:sz="4" w:space="0"/>
              <w:right w:val="single" w:color="auto" w:sz="4" w:space="0"/>
            </w:tcBorders>
            <w:shd w:val="clear" w:color="auto" w:fill="auto"/>
            <w:vAlign w:val="center"/>
          </w:tcPr>
          <w:p w14:paraId="6ED16365">
            <w:pPr>
              <w:jc w:val="center"/>
              <w:rPr>
                <w:rFonts w:ascii="仿宋" w:hAnsi="仿宋" w:eastAsia="仿宋"/>
                <w:kern w:val="0"/>
                <w:sz w:val="24"/>
              </w:rPr>
            </w:pPr>
          </w:p>
        </w:tc>
        <w:tc>
          <w:tcPr>
            <w:tcW w:w="1386" w:type="dxa"/>
            <w:tcBorders>
              <w:top w:val="nil"/>
              <w:left w:val="nil"/>
              <w:bottom w:val="single" w:color="auto" w:sz="4" w:space="0"/>
              <w:right w:val="single" w:color="auto" w:sz="4" w:space="0"/>
            </w:tcBorders>
            <w:shd w:val="clear" w:color="000000" w:fill="FFFFFF"/>
            <w:vAlign w:val="center"/>
          </w:tcPr>
          <w:p w14:paraId="4D2CC451">
            <w:pPr>
              <w:widowControl/>
              <w:jc w:val="center"/>
              <w:rPr>
                <w:rFonts w:ascii="仿宋" w:hAnsi="仿宋" w:eastAsia="仿宋"/>
                <w:kern w:val="0"/>
                <w:sz w:val="24"/>
              </w:rPr>
            </w:pPr>
            <w:r>
              <w:rPr>
                <w:rFonts w:ascii="仿宋" w:hAnsi="仿宋" w:eastAsia="仿宋"/>
                <w:kern w:val="0"/>
                <w:sz w:val="24"/>
              </w:rPr>
              <w:t>M01301</w:t>
            </w:r>
          </w:p>
        </w:tc>
        <w:tc>
          <w:tcPr>
            <w:tcW w:w="3598" w:type="dxa"/>
            <w:tcBorders>
              <w:top w:val="nil"/>
              <w:left w:val="nil"/>
              <w:bottom w:val="single" w:color="auto" w:sz="4" w:space="0"/>
              <w:right w:val="single" w:color="auto" w:sz="4" w:space="0"/>
            </w:tcBorders>
            <w:shd w:val="clear" w:color="000000" w:fill="FFFFFF"/>
            <w:vAlign w:val="center"/>
          </w:tcPr>
          <w:p w14:paraId="0129A386">
            <w:pPr>
              <w:widowControl/>
              <w:jc w:val="center"/>
              <w:rPr>
                <w:rFonts w:ascii="仿宋" w:hAnsi="仿宋" w:eastAsia="仿宋"/>
                <w:kern w:val="0"/>
                <w:sz w:val="24"/>
              </w:rPr>
            </w:pPr>
            <w:r>
              <w:rPr>
                <w:rFonts w:ascii="仿宋" w:hAnsi="仿宋" w:eastAsia="仿宋"/>
                <w:kern w:val="0"/>
                <w:sz w:val="24"/>
              </w:rPr>
              <w:t>原发免疫性血小板减少症</w:t>
            </w:r>
          </w:p>
        </w:tc>
        <w:tc>
          <w:tcPr>
            <w:tcW w:w="1180" w:type="dxa"/>
            <w:tcBorders>
              <w:top w:val="nil"/>
              <w:left w:val="nil"/>
              <w:bottom w:val="single" w:color="auto" w:sz="4" w:space="0"/>
              <w:right w:val="single" w:color="auto" w:sz="4" w:space="0"/>
            </w:tcBorders>
            <w:vAlign w:val="center"/>
          </w:tcPr>
          <w:p w14:paraId="5E116040">
            <w:pPr>
              <w:widowControl/>
              <w:jc w:val="center"/>
              <w:rPr>
                <w:rFonts w:ascii="仿宋" w:hAnsi="仿宋" w:eastAsia="仿宋"/>
                <w:kern w:val="0"/>
                <w:sz w:val="24"/>
              </w:rPr>
            </w:pPr>
            <w:r>
              <w:rPr>
                <w:rFonts w:ascii="仿宋" w:hAnsi="仿宋" w:eastAsia="仿宋"/>
                <w:kern w:val="0"/>
                <w:sz w:val="24"/>
              </w:rPr>
              <w:t>85</w:t>
            </w:r>
          </w:p>
        </w:tc>
        <w:tc>
          <w:tcPr>
            <w:tcW w:w="1394" w:type="dxa"/>
            <w:tcBorders>
              <w:top w:val="nil"/>
              <w:left w:val="nil"/>
              <w:bottom w:val="single" w:color="auto" w:sz="4" w:space="0"/>
              <w:right w:val="single" w:color="auto" w:sz="4" w:space="0"/>
            </w:tcBorders>
            <w:vAlign w:val="center"/>
          </w:tcPr>
          <w:p w14:paraId="5D94580A">
            <w:pPr>
              <w:widowControl/>
              <w:jc w:val="center"/>
              <w:rPr>
                <w:rFonts w:ascii="仿宋" w:hAnsi="仿宋" w:eastAsia="仿宋" w:cs="宋体"/>
                <w:kern w:val="0"/>
                <w:sz w:val="24"/>
              </w:rPr>
            </w:pPr>
            <w:r>
              <w:rPr>
                <w:rFonts w:hint="eastAsia" w:ascii="仿宋" w:hAnsi="仿宋" w:eastAsia="仿宋" w:cs="宋体"/>
                <w:kern w:val="0"/>
                <w:sz w:val="24"/>
              </w:rPr>
              <w:t>5000</w:t>
            </w:r>
          </w:p>
        </w:tc>
        <w:tc>
          <w:tcPr>
            <w:tcW w:w="1174" w:type="dxa"/>
            <w:tcBorders>
              <w:top w:val="nil"/>
              <w:left w:val="nil"/>
              <w:bottom w:val="single" w:color="auto" w:sz="4" w:space="0"/>
              <w:right w:val="single" w:color="auto" w:sz="4" w:space="0"/>
            </w:tcBorders>
            <w:vAlign w:val="center"/>
          </w:tcPr>
          <w:p w14:paraId="7646B21F">
            <w:pPr>
              <w:widowControl/>
              <w:jc w:val="center"/>
              <w:rPr>
                <w:rFonts w:ascii="仿宋" w:hAnsi="仿宋" w:eastAsia="仿宋" w:cs="宋体"/>
                <w:kern w:val="0"/>
                <w:sz w:val="24"/>
              </w:rPr>
            </w:pPr>
            <w:r>
              <w:rPr>
                <w:rFonts w:hint="eastAsia" w:ascii="仿宋" w:hAnsi="仿宋" w:eastAsia="仿宋" w:cs="宋体"/>
                <w:kern w:val="0"/>
                <w:sz w:val="24"/>
              </w:rPr>
              <w:t>70</w:t>
            </w:r>
          </w:p>
        </w:tc>
        <w:tc>
          <w:tcPr>
            <w:tcW w:w="1560" w:type="dxa"/>
            <w:tcBorders>
              <w:top w:val="nil"/>
              <w:left w:val="nil"/>
              <w:bottom w:val="single" w:color="auto" w:sz="4" w:space="0"/>
              <w:right w:val="single" w:color="auto" w:sz="4" w:space="0"/>
            </w:tcBorders>
            <w:vAlign w:val="center"/>
          </w:tcPr>
          <w:p w14:paraId="087A3172">
            <w:pPr>
              <w:widowControl/>
              <w:jc w:val="center"/>
              <w:rPr>
                <w:rFonts w:ascii="仿宋" w:hAnsi="仿宋" w:eastAsia="仿宋" w:cs="宋体"/>
                <w:kern w:val="0"/>
                <w:sz w:val="24"/>
              </w:rPr>
            </w:pPr>
            <w:r>
              <w:rPr>
                <w:rFonts w:hint="eastAsia" w:ascii="仿宋" w:hAnsi="仿宋" w:eastAsia="仿宋" w:cs="宋体"/>
                <w:kern w:val="0"/>
                <w:sz w:val="24"/>
              </w:rPr>
              <w:t>3000</w:t>
            </w:r>
          </w:p>
        </w:tc>
        <w:tc>
          <w:tcPr>
            <w:tcW w:w="1487" w:type="dxa"/>
            <w:tcBorders>
              <w:top w:val="nil"/>
              <w:left w:val="nil"/>
              <w:bottom w:val="single" w:color="auto" w:sz="4" w:space="0"/>
              <w:right w:val="single" w:color="auto" w:sz="4" w:space="0"/>
            </w:tcBorders>
            <w:vAlign w:val="center"/>
          </w:tcPr>
          <w:p w14:paraId="105FE1DB">
            <w:pPr>
              <w:widowControl/>
              <w:jc w:val="center"/>
              <w:rPr>
                <w:rFonts w:ascii="仿宋" w:hAnsi="仿宋" w:eastAsia="仿宋" w:cs="宋体"/>
                <w:kern w:val="0"/>
                <w:sz w:val="24"/>
              </w:rPr>
            </w:pPr>
            <w:r>
              <w:rPr>
                <w:rFonts w:hint="eastAsia" w:ascii="仿宋" w:hAnsi="仿宋" w:eastAsia="仿宋" w:cs="宋体"/>
                <w:kern w:val="0"/>
                <w:sz w:val="24"/>
              </w:rPr>
              <w:t>1年</w:t>
            </w:r>
          </w:p>
        </w:tc>
      </w:tr>
      <w:tr w14:paraId="505509E3">
        <w:tblPrEx>
          <w:tblCellMar>
            <w:top w:w="0" w:type="dxa"/>
            <w:left w:w="0" w:type="dxa"/>
            <w:bottom w:w="0" w:type="dxa"/>
            <w:right w:w="0" w:type="dxa"/>
          </w:tblCellMar>
        </w:tblPrEx>
        <w:trPr>
          <w:trHeight w:val="465" w:hRule="atLeast"/>
          <w:jc w:val="right"/>
        </w:trPr>
        <w:tc>
          <w:tcPr>
            <w:tcW w:w="755" w:type="dxa"/>
            <w:tcBorders>
              <w:top w:val="nil"/>
              <w:left w:val="single" w:color="auto" w:sz="4" w:space="0"/>
              <w:bottom w:val="single" w:color="auto" w:sz="4" w:space="0"/>
              <w:right w:val="single" w:color="auto" w:sz="4" w:space="0"/>
            </w:tcBorders>
            <w:shd w:val="clear" w:color="auto" w:fill="auto"/>
            <w:vAlign w:val="center"/>
          </w:tcPr>
          <w:p w14:paraId="19741F9D">
            <w:pPr>
              <w:widowControl/>
              <w:jc w:val="center"/>
              <w:rPr>
                <w:rFonts w:ascii="仿宋" w:hAnsi="仿宋" w:eastAsia="仿宋"/>
                <w:kern w:val="0"/>
                <w:sz w:val="24"/>
              </w:rPr>
            </w:pPr>
            <w:r>
              <w:rPr>
                <w:rFonts w:ascii="仿宋" w:hAnsi="仿宋" w:eastAsia="仿宋"/>
                <w:kern w:val="0"/>
                <w:sz w:val="24"/>
              </w:rPr>
              <w:t>33</w:t>
            </w:r>
          </w:p>
        </w:tc>
        <w:tc>
          <w:tcPr>
            <w:tcW w:w="822" w:type="dxa"/>
            <w:vMerge w:val="continue"/>
            <w:tcBorders>
              <w:left w:val="single" w:color="auto" w:sz="4" w:space="0"/>
              <w:right w:val="single" w:color="auto" w:sz="4" w:space="0"/>
            </w:tcBorders>
            <w:shd w:val="clear" w:color="auto" w:fill="auto"/>
            <w:vAlign w:val="center"/>
          </w:tcPr>
          <w:p w14:paraId="29FFBA8E">
            <w:pPr>
              <w:jc w:val="center"/>
              <w:rPr>
                <w:rFonts w:ascii="仿宋" w:hAnsi="仿宋" w:eastAsia="仿宋"/>
                <w:kern w:val="0"/>
                <w:sz w:val="24"/>
              </w:rPr>
            </w:pPr>
          </w:p>
        </w:tc>
        <w:tc>
          <w:tcPr>
            <w:tcW w:w="1386" w:type="dxa"/>
            <w:tcBorders>
              <w:top w:val="nil"/>
              <w:left w:val="nil"/>
              <w:bottom w:val="single" w:color="auto" w:sz="4" w:space="0"/>
              <w:right w:val="single" w:color="auto" w:sz="4" w:space="0"/>
            </w:tcBorders>
            <w:shd w:val="clear" w:color="000000" w:fill="FFFFFF"/>
            <w:vAlign w:val="center"/>
          </w:tcPr>
          <w:p w14:paraId="06AD4C7B">
            <w:pPr>
              <w:widowControl/>
              <w:jc w:val="center"/>
              <w:rPr>
                <w:rFonts w:ascii="仿宋" w:hAnsi="仿宋" w:eastAsia="仿宋"/>
                <w:kern w:val="0"/>
                <w:sz w:val="24"/>
              </w:rPr>
            </w:pPr>
            <w:r>
              <w:rPr>
                <w:rFonts w:ascii="仿宋" w:hAnsi="仿宋" w:eastAsia="仿宋"/>
                <w:kern w:val="0"/>
                <w:sz w:val="24"/>
              </w:rPr>
              <w:t>M08401</w:t>
            </w:r>
          </w:p>
        </w:tc>
        <w:tc>
          <w:tcPr>
            <w:tcW w:w="3598" w:type="dxa"/>
            <w:tcBorders>
              <w:top w:val="nil"/>
              <w:left w:val="nil"/>
              <w:bottom w:val="single" w:color="auto" w:sz="4" w:space="0"/>
              <w:right w:val="single" w:color="auto" w:sz="4" w:space="0"/>
            </w:tcBorders>
            <w:shd w:val="clear" w:color="000000" w:fill="FFFFFF"/>
            <w:vAlign w:val="center"/>
          </w:tcPr>
          <w:p w14:paraId="7773AB38">
            <w:pPr>
              <w:widowControl/>
              <w:jc w:val="center"/>
              <w:rPr>
                <w:rFonts w:ascii="仿宋" w:hAnsi="仿宋" w:eastAsia="仿宋"/>
                <w:kern w:val="0"/>
                <w:sz w:val="24"/>
              </w:rPr>
            </w:pPr>
            <w:r>
              <w:rPr>
                <w:rFonts w:ascii="仿宋" w:hAnsi="仿宋" w:eastAsia="仿宋"/>
                <w:kern w:val="0"/>
                <w:sz w:val="24"/>
              </w:rPr>
              <w:t>冠状动脉搭桥术后状态</w:t>
            </w:r>
          </w:p>
        </w:tc>
        <w:tc>
          <w:tcPr>
            <w:tcW w:w="1180" w:type="dxa"/>
            <w:tcBorders>
              <w:top w:val="nil"/>
              <w:left w:val="nil"/>
              <w:bottom w:val="single" w:color="auto" w:sz="4" w:space="0"/>
              <w:right w:val="single" w:color="auto" w:sz="4" w:space="0"/>
            </w:tcBorders>
            <w:vAlign w:val="center"/>
          </w:tcPr>
          <w:p w14:paraId="0FF26697">
            <w:pPr>
              <w:widowControl/>
              <w:jc w:val="center"/>
              <w:rPr>
                <w:rFonts w:ascii="仿宋" w:hAnsi="仿宋" w:eastAsia="仿宋"/>
                <w:kern w:val="0"/>
                <w:sz w:val="24"/>
              </w:rPr>
            </w:pPr>
            <w:r>
              <w:rPr>
                <w:rFonts w:ascii="仿宋" w:hAnsi="仿宋" w:eastAsia="仿宋"/>
                <w:kern w:val="0"/>
                <w:sz w:val="24"/>
              </w:rPr>
              <w:t>85</w:t>
            </w:r>
          </w:p>
        </w:tc>
        <w:tc>
          <w:tcPr>
            <w:tcW w:w="1394" w:type="dxa"/>
            <w:tcBorders>
              <w:top w:val="nil"/>
              <w:left w:val="nil"/>
              <w:bottom w:val="single" w:color="auto" w:sz="4" w:space="0"/>
              <w:right w:val="single" w:color="auto" w:sz="4" w:space="0"/>
            </w:tcBorders>
            <w:vAlign w:val="center"/>
          </w:tcPr>
          <w:p w14:paraId="57F3BBC0">
            <w:pPr>
              <w:widowControl/>
              <w:jc w:val="center"/>
              <w:rPr>
                <w:rFonts w:ascii="仿宋" w:hAnsi="仿宋" w:eastAsia="仿宋" w:cs="宋体"/>
                <w:kern w:val="0"/>
                <w:sz w:val="24"/>
              </w:rPr>
            </w:pPr>
            <w:r>
              <w:rPr>
                <w:rFonts w:hint="eastAsia" w:ascii="仿宋" w:hAnsi="仿宋" w:eastAsia="仿宋" w:cs="宋体"/>
                <w:kern w:val="0"/>
                <w:sz w:val="24"/>
              </w:rPr>
              <w:t>6000</w:t>
            </w:r>
          </w:p>
        </w:tc>
        <w:tc>
          <w:tcPr>
            <w:tcW w:w="1174" w:type="dxa"/>
            <w:tcBorders>
              <w:top w:val="nil"/>
              <w:left w:val="nil"/>
              <w:bottom w:val="single" w:color="auto" w:sz="4" w:space="0"/>
              <w:right w:val="single" w:color="auto" w:sz="4" w:space="0"/>
            </w:tcBorders>
            <w:vAlign w:val="center"/>
          </w:tcPr>
          <w:p w14:paraId="545D9988">
            <w:pPr>
              <w:widowControl/>
              <w:jc w:val="center"/>
              <w:rPr>
                <w:rFonts w:ascii="仿宋" w:hAnsi="仿宋" w:eastAsia="仿宋" w:cs="宋体"/>
                <w:kern w:val="0"/>
                <w:sz w:val="24"/>
              </w:rPr>
            </w:pPr>
            <w:r>
              <w:rPr>
                <w:rFonts w:hint="eastAsia" w:ascii="仿宋" w:hAnsi="仿宋" w:eastAsia="仿宋" w:cs="宋体"/>
                <w:kern w:val="0"/>
                <w:sz w:val="24"/>
              </w:rPr>
              <w:t>70</w:t>
            </w:r>
          </w:p>
        </w:tc>
        <w:tc>
          <w:tcPr>
            <w:tcW w:w="1560" w:type="dxa"/>
            <w:tcBorders>
              <w:top w:val="nil"/>
              <w:left w:val="nil"/>
              <w:bottom w:val="single" w:color="auto" w:sz="4" w:space="0"/>
              <w:right w:val="single" w:color="auto" w:sz="4" w:space="0"/>
            </w:tcBorders>
            <w:vAlign w:val="center"/>
          </w:tcPr>
          <w:p w14:paraId="1B37D1A2">
            <w:pPr>
              <w:widowControl/>
              <w:jc w:val="center"/>
              <w:rPr>
                <w:rFonts w:ascii="仿宋" w:hAnsi="仿宋" w:eastAsia="仿宋" w:cs="宋体"/>
                <w:kern w:val="0"/>
                <w:sz w:val="24"/>
              </w:rPr>
            </w:pPr>
            <w:r>
              <w:rPr>
                <w:rFonts w:hint="eastAsia" w:ascii="仿宋" w:hAnsi="仿宋" w:eastAsia="仿宋" w:cs="宋体"/>
                <w:kern w:val="0"/>
                <w:sz w:val="24"/>
              </w:rPr>
              <w:t>4000</w:t>
            </w:r>
          </w:p>
        </w:tc>
        <w:tc>
          <w:tcPr>
            <w:tcW w:w="1487" w:type="dxa"/>
            <w:tcBorders>
              <w:top w:val="nil"/>
              <w:left w:val="nil"/>
              <w:bottom w:val="single" w:color="auto" w:sz="4" w:space="0"/>
              <w:right w:val="single" w:color="auto" w:sz="4" w:space="0"/>
            </w:tcBorders>
            <w:vAlign w:val="center"/>
          </w:tcPr>
          <w:p w14:paraId="3726900E">
            <w:pPr>
              <w:widowControl/>
              <w:jc w:val="center"/>
              <w:rPr>
                <w:rFonts w:ascii="仿宋" w:hAnsi="仿宋" w:eastAsia="仿宋" w:cs="宋体"/>
                <w:kern w:val="0"/>
                <w:sz w:val="24"/>
              </w:rPr>
            </w:pPr>
            <w:r>
              <w:rPr>
                <w:rFonts w:hint="eastAsia" w:ascii="仿宋" w:hAnsi="仿宋" w:eastAsia="仿宋" w:cs="宋体"/>
                <w:kern w:val="0"/>
                <w:sz w:val="24"/>
              </w:rPr>
              <w:t>5年</w:t>
            </w:r>
          </w:p>
        </w:tc>
      </w:tr>
      <w:tr w14:paraId="6C48BDA0">
        <w:tblPrEx>
          <w:tblCellMar>
            <w:top w:w="0" w:type="dxa"/>
            <w:left w:w="0" w:type="dxa"/>
            <w:bottom w:w="0" w:type="dxa"/>
            <w:right w:w="0" w:type="dxa"/>
          </w:tblCellMar>
        </w:tblPrEx>
        <w:trPr>
          <w:trHeight w:val="465" w:hRule="atLeast"/>
          <w:jc w:val="right"/>
        </w:trPr>
        <w:tc>
          <w:tcPr>
            <w:tcW w:w="755" w:type="dxa"/>
            <w:tcBorders>
              <w:top w:val="nil"/>
              <w:left w:val="single" w:color="auto" w:sz="4" w:space="0"/>
              <w:bottom w:val="single" w:color="auto" w:sz="4" w:space="0"/>
              <w:right w:val="single" w:color="auto" w:sz="4" w:space="0"/>
            </w:tcBorders>
            <w:shd w:val="clear" w:color="auto" w:fill="auto"/>
            <w:vAlign w:val="center"/>
          </w:tcPr>
          <w:p w14:paraId="52085690">
            <w:pPr>
              <w:widowControl/>
              <w:jc w:val="center"/>
              <w:rPr>
                <w:rFonts w:ascii="仿宋" w:hAnsi="仿宋" w:eastAsia="仿宋"/>
                <w:kern w:val="0"/>
                <w:sz w:val="24"/>
              </w:rPr>
            </w:pPr>
            <w:r>
              <w:rPr>
                <w:rFonts w:ascii="仿宋" w:hAnsi="仿宋" w:eastAsia="仿宋"/>
                <w:kern w:val="0"/>
                <w:sz w:val="24"/>
              </w:rPr>
              <w:t>34</w:t>
            </w:r>
          </w:p>
        </w:tc>
        <w:tc>
          <w:tcPr>
            <w:tcW w:w="822" w:type="dxa"/>
            <w:vMerge w:val="continue"/>
            <w:tcBorders>
              <w:left w:val="single" w:color="auto" w:sz="4" w:space="0"/>
              <w:right w:val="single" w:color="auto" w:sz="4" w:space="0"/>
            </w:tcBorders>
            <w:shd w:val="clear" w:color="auto" w:fill="auto"/>
            <w:vAlign w:val="center"/>
          </w:tcPr>
          <w:p w14:paraId="2D7A509E">
            <w:pPr>
              <w:jc w:val="center"/>
              <w:rPr>
                <w:rFonts w:ascii="仿宋" w:hAnsi="仿宋" w:eastAsia="仿宋"/>
                <w:kern w:val="0"/>
                <w:sz w:val="24"/>
              </w:rPr>
            </w:pPr>
          </w:p>
        </w:tc>
        <w:tc>
          <w:tcPr>
            <w:tcW w:w="1386" w:type="dxa"/>
            <w:tcBorders>
              <w:top w:val="nil"/>
              <w:left w:val="nil"/>
              <w:bottom w:val="single" w:color="auto" w:sz="4" w:space="0"/>
              <w:right w:val="single" w:color="auto" w:sz="4" w:space="0"/>
            </w:tcBorders>
            <w:shd w:val="clear" w:color="000000" w:fill="FFFFFF"/>
            <w:vAlign w:val="center"/>
          </w:tcPr>
          <w:p w14:paraId="05B43A8B">
            <w:pPr>
              <w:widowControl/>
              <w:jc w:val="center"/>
              <w:rPr>
                <w:rFonts w:ascii="仿宋" w:hAnsi="仿宋" w:eastAsia="仿宋"/>
                <w:kern w:val="0"/>
                <w:sz w:val="24"/>
              </w:rPr>
            </w:pPr>
            <w:r>
              <w:rPr>
                <w:rFonts w:ascii="仿宋" w:hAnsi="仿宋" w:eastAsia="仿宋"/>
                <w:kern w:val="0"/>
                <w:sz w:val="24"/>
              </w:rPr>
              <w:t>M08405</w:t>
            </w:r>
          </w:p>
        </w:tc>
        <w:tc>
          <w:tcPr>
            <w:tcW w:w="3598" w:type="dxa"/>
            <w:tcBorders>
              <w:top w:val="nil"/>
              <w:left w:val="nil"/>
              <w:bottom w:val="single" w:color="auto" w:sz="4" w:space="0"/>
              <w:right w:val="single" w:color="auto" w:sz="4" w:space="0"/>
            </w:tcBorders>
            <w:shd w:val="clear" w:color="000000" w:fill="FFFFFF"/>
            <w:vAlign w:val="center"/>
          </w:tcPr>
          <w:p w14:paraId="243E34A6">
            <w:pPr>
              <w:widowControl/>
              <w:jc w:val="center"/>
              <w:rPr>
                <w:rFonts w:ascii="仿宋" w:hAnsi="仿宋" w:eastAsia="仿宋"/>
                <w:kern w:val="0"/>
                <w:sz w:val="24"/>
              </w:rPr>
            </w:pPr>
            <w:r>
              <w:rPr>
                <w:rFonts w:ascii="仿宋" w:hAnsi="仿宋" w:eastAsia="仿宋"/>
                <w:kern w:val="0"/>
                <w:sz w:val="24"/>
              </w:rPr>
              <w:t>具有其他心脏瓣膜置换</w:t>
            </w:r>
          </w:p>
        </w:tc>
        <w:tc>
          <w:tcPr>
            <w:tcW w:w="1180" w:type="dxa"/>
            <w:tcBorders>
              <w:top w:val="nil"/>
              <w:left w:val="nil"/>
              <w:bottom w:val="single" w:color="auto" w:sz="4" w:space="0"/>
              <w:right w:val="single" w:color="auto" w:sz="4" w:space="0"/>
            </w:tcBorders>
            <w:vAlign w:val="center"/>
          </w:tcPr>
          <w:p w14:paraId="48A3AB46">
            <w:pPr>
              <w:widowControl/>
              <w:jc w:val="center"/>
              <w:rPr>
                <w:rFonts w:ascii="仿宋" w:hAnsi="仿宋" w:eastAsia="仿宋"/>
                <w:kern w:val="0"/>
                <w:sz w:val="24"/>
              </w:rPr>
            </w:pPr>
            <w:r>
              <w:rPr>
                <w:rFonts w:ascii="仿宋" w:hAnsi="仿宋" w:eastAsia="仿宋"/>
                <w:kern w:val="0"/>
                <w:sz w:val="24"/>
              </w:rPr>
              <w:t>85</w:t>
            </w:r>
          </w:p>
        </w:tc>
        <w:tc>
          <w:tcPr>
            <w:tcW w:w="1394" w:type="dxa"/>
            <w:tcBorders>
              <w:top w:val="nil"/>
              <w:left w:val="nil"/>
              <w:bottom w:val="single" w:color="auto" w:sz="4" w:space="0"/>
              <w:right w:val="single" w:color="auto" w:sz="4" w:space="0"/>
            </w:tcBorders>
            <w:vAlign w:val="center"/>
          </w:tcPr>
          <w:p w14:paraId="1414E027">
            <w:pPr>
              <w:widowControl/>
              <w:jc w:val="center"/>
              <w:rPr>
                <w:rFonts w:ascii="仿宋" w:hAnsi="仿宋" w:eastAsia="仿宋" w:cs="宋体"/>
                <w:kern w:val="0"/>
                <w:sz w:val="24"/>
              </w:rPr>
            </w:pPr>
            <w:r>
              <w:rPr>
                <w:rFonts w:hint="eastAsia" w:ascii="仿宋" w:hAnsi="仿宋" w:eastAsia="仿宋" w:cs="宋体"/>
                <w:kern w:val="0"/>
                <w:sz w:val="24"/>
              </w:rPr>
              <w:t>6000</w:t>
            </w:r>
          </w:p>
        </w:tc>
        <w:tc>
          <w:tcPr>
            <w:tcW w:w="1174" w:type="dxa"/>
            <w:tcBorders>
              <w:top w:val="nil"/>
              <w:left w:val="nil"/>
              <w:bottom w:val="single" w:color="auto" w:sz="4" w:space="0"/>
              <w:right w:val="single" w:color="auto" w:sz="4" w:space="0"/>
            </w:tcBorders>
            <w:vAlign w:val="center"/>
          </w:tcPr>
          <w:p w14:paraId="381B9A21">
            <w:pPr>
              <w:widowControl/>
              <w:jc w:val="center"/>
              <w:rPr>
                <w:rFonts w:ascii="仿宋" w:hAnsi="仿宋" w:eastAsia="仿宋" w:cs="宋体"/>
                <w:kern w:val="0"/>
                <w:sz w:val="24"/>
              </w:rPr>
            </w:pPr>
            <w:r>
              <w:rPr>
                <w:rFonts w:hint="eastAsia" w:ascii="仿宋" w:hAnsi="仿宋" w:eastAsia="仿宋" w:cs="宋体"/>
                <w:kern w:val="0"/>
                <w:sz w:val="24"/>
              </w:rPr>
              <w:t>70</w:t>
            </w:r>
          </w:p>
        </w:tc>
        <w:tc>
          <w:tcPr>
            <w:tcW w:w="1560" w:type="dxa"/>
            <w:tcBorders>
              <w:top w:val="nil"/>
              <w:left w:val="nil"/>
              <w:bottom w:val="single" w:color="auto" w:sz="4" w:space="0"/>
              <w:right w:val="single" w:color="auto" w:sz="4" w:space="0"/>
            </w:tcBorders>
            <w:vAlign w:val="center"/>
          </w:tcPr>
          <w:p w14:paraId="6EC6A6D7">
            <w:pPr>
              <w:widowControl/>
              <w:jc w:val="center"/>
              <w:rPr>
                <w:rFonts w:ascii="仿宋" w:hAnsi="仿宋" w:eastAsia="仿宋" w:cs="宋体"/>
                <w:kern w:val="0"/>
                <w:sz w:val="24"/>
              </w:rPr>
            </w:pPr>
            <w:r>
              <w:rPr>
                <w:rFonts w:hint="eastAsia" w:ascii="仿宋" w:hAnsi="仿宋" w:eastAsia="仿宋" w:cs="宋体"/>
                <w:kern w:val="0"/>
                <w:sz w:val="24"/>
              </w:rPr>
              <w:t>4000</w:t>
            </w:r>
          </w:p>
        </w:tc>
        <w:tc>
          <w:tcPr>
            <w:tcW w:w="1487" w:type="dxa"/>
            <w:tcBorders>
              <w:top w:val="nil"/>
              <w:left w:val="nil"/>
              <w:bottom w:val="single" w:color="auto" w:sz="4" w:space="0"/>
              <w:right w:val="single" w:color="auto" w:sz="4" w:space="0"/>
            </w:tcBorders>
            <w:vAlign w:val="center"/>
          </w:tcPr>
          <w:p w14:paraId="733D471A">
            <w:pPr>
              <w:widowControl/>
              <w:jc w:val="center"/>
              <w:rPr>
                <w:rFonts w:ascii="仿宋" w:hAnsi="仿宋" w:eastAsia="仿宋" w:cs="宋体"/>
                <w:kern w:val="0"/>
                <w:sz w:val="24"/>
              </w:rPr>
            </w:pPr>
            <w:r>
              <w:rPr>
                <w:rFonts w:hint="eastAsia" w:ascii="仿宋" w:hAnsi="仿宋" w:eastAsia="仿宋" w:cs="宋体"/>
                <w:kern w:val="0"/>
                <w:sz w:val="24"/>
              </w:rPr>
              <w:t>长期</w:t>
            </w:r>
          </w:p>
        </w:tc>
      </w:tr>
      <w:tr w14:paraId="1E611AD0">
        <w:tblPrEx>
          <w:tblCellMar>
            <w:top w:w="0" w:type="dxa"/>
            <w:left w:w="0" w:type="dxa"/>
            <w:bottom w:w="0" w:type="dxa"/>
            <w:right w:w="0" w:type="dxa"/>
          </w:tblCellMar>
        </w:tblPrEx>
        <w:trPr>
          <w:trHeight w:val="465" w:hRule="atLeast"/>
          <w:jc w:val="right"/>
        </w:trPr>
        <w:tc>
          <w:tcPr>
            <w:tcW w:w="755" w:type="dxa"/>
            <w:tcBorders>
              <w:top w:val="nil"/>
              <w:left w:val="single" w:color="auto" w:sz="4" w:space="0"/>
              <w:bottom w:val="single" w:color="auto" w:sz="4" w:space="0"/>
              <w:right w:val="single" w:color="auto" w:sz="4" w:space="0"/>
            </w:tcBorders>
            <w:shd w:val="clear" w:color="auto" w:fill="auto"/>
            <w:vAlign w:val="center"/>
          </w:tcPr>
          <w:p w14:paraId="795E1A75">
            <w:pPr>
              <w:widowControl/>
              <w:jc w:val="center"/>
              <w:rPr>
                <w:rFonts w:ascii="仿宋" w:hAnsi="仿宋" w:eastAsia="仿宋"/>
                <w:kern w:val="0"/>
                <w:sz w:val="24"/>
              </w:rPr>
            </w:pPr>
            <w:r>
              <w:rPr>
                <w:rFonts w:ascii="仿宋" w:hAnsi="仿宋" w:eastAsia="仿宋"/>
                <w:kern w:val="0"/>
                <w:sz w:val="24"/>
              </w:rPr>
              <w:t>35</w:t>
            </w:r>
          </w:p>
        </w:tc>
        <w:tc>
          <w:tcPr>
            <w:tcW w:w="822" w:type="dxa"/>
            <w:vMerge w:val="continue"/>
            <w:tcBorders>
              <w:left w:val="single" w:color="auto" w:sz="4" w:space="0"/>
              <w:right w:val="single" w:color="auto" w:sz="4" w:space="0"/>
            </w:tcBorders>
            <w:shd w:val="clear" w:color="auto" w:fill="auto"/>
            <w:vAlign w:val="center"/>
          </w:tcPr>
          <w:p w14:paraId="2324A0B8">
            <w:pPr>
              <w:jc w:val="center"/>
              <w:rPr>
                <w:rFonts w:ascii="仿宋" w:hAnsi="仿宋" w:eastAsia="仿宋"/>
                <w:kern w:val="0"/>
                <w:sz w:val="24"/>
              </w:rPr>
            </w:pPr>
          </w:p>
        </w:tc>
        <w:tc>
          <w:tcPr>
            <w:tcW w:w="1386" w:type="dxa"/>
            <w:tcBorders>
              <w:top w:val="nil"/>
              <w:left w:val="nil"/>
              <w:bottom w:val="single" w:color="auto" w:sz="4" w:space="0"/>
              <w:right w:val="single" w:color="auto" w:sz="4" w:space="0"/>
            </w:tcBorders>
            <w:shd w:val="clear" w:color="000000" w:fill="FFFFFF"/>
            <w:vAlign w:val="center"/>
          </w:tcPr>
          <w:p w14:paraId="2BBADBA2">
            <w:pPr>
              <w:widowControl/>
              <w:jc w:val="center"/>
              <w:rPr>
                <w:rFonts w:ascii="仿宋" w:hAnsi="仿宋" w:eastAsia="仿宋"/>
                <w:kern w:val="0"/>
                <w:sz w:val="24"/>
              </w:rPr>
            </w:pPr>
            <w:r>
              <w:rPr>
                <w:rFonts w:ascii="仿宋" w:hAnsi="仿宋" w:eastAsia="仿宋"/>
                <w:kern w:val="0"/>
                <w:sz w:val="24"/>
              </w:rPr>
              <w:t>M08402</w:t>
            </w:r>
          </w:p>
        </w:tc>
        <w:tc>
          <w:tcPr>
            <w:tcW w:w="3598" w:type="dxa"/>
            <w:tcBorders>
              <w:top w:val="nil"/>
              <w:left w:val="nil"/>
              <w:bottom w:val="single" w:color="auto" w:sz="4" w:space="0"/>
              <w:right w:val="single" w:color="auto" w:sz="4" w:space="0"/>
            </w:tcBorders>
            <w:shd w:val="clear" w:color="000000" w:fill="FFFFFF"/>
            <w:vAlign w:val="center"/>
          </w:tcPr>
          <w:p w14:paraId="27D5F0B3">
            <w:pPr>
              <w:widowControl/>
              <w:jc w:val="center"/>
              <w:rPr>
                <w:rFonts w:ascii="仿宋" w:hAnsi="仿宋" w:eastAsia="仿宋"/>
                <w:kern w:val="0"/>
                <w:sz w:val="24"/>
              </w:rPr>
            </w:pPr>
            <w:r>
              <w:rPr>
                <w:rFonts w:ascii="仿宋" w:hAnsi="仿宋" w:eastAsia="仿宋"/>
                <w:kern w:val="0"/>
                <w:sz w:val="24"/>
              </w:rPr>
              <w:t>冠状动脉支架置入术后状态</w:t>
            </w:r>
          </w:p>
        </w:tc>
        <w:tc>
          <w:tcPr>
            <w:tcW w:w="1180" w:type="dxa"/>
            <w:tcBorders>
              <w:top w:val="nil"/>
              <w:left w:val="nil"/>
              <w:bottom w:val="single" w:color="auto" w:sz="4" w:space="0"/>
              <w:right w:val="single" w:color="auto" w:sz="4" w:space="0"/>
            </w:tcBorders>
            <w:vAlign w:val="center"/>
          </w:tcPr>
          <w:p w14:paraId="605275DD">
            <w:pPr>
              <w:widowControl/>
              <w:jc w:val="center"/>
              <w:rPr>
                <w:rFonts w:ascii="仿宋" w:hAnsi="仿宋" w:eastAsia="仿宋"/>
                <w:kern w:val="0"/>
                <w:sz w:val="24"/>
              </w:rPr>
            </w:pPr>
            <w:r>
              <w:rPr>
                <w:rFonts w:ascii="仿宋" w:hAnsi="仿宋" w:eastAsia="仿宋"/>
                <w:kern w:val="0"/>
                <w:sz w:val="24"/>
              </w:rPr>
              <w:t>85</w:t>
            </w:r>
          </w:p>
        </w:tc>
        <w:tc>
          <w:tcPr>
            <w:tcW w:w="1394" w:type="dxa"/>
            <w:tcBorders>
              <w:top w:val="nil"/>
              <w:left w:val="nil"/>
              <w:bottom w:val="single" w:color="auto" w:sz="4" w:space="0"/>
              <w:right w:val="single" w:color="auto" w:sz="4" w:space="0"/>
            </w:tcBorders>
            <w:vAlign w:val="center"/>
          </w:tcPr>
          <w:p w14:paraId="0CC95CB4">
            <w:pPr>
              <w:widowControl/>
              <w:jc w:val="center"/>
              <w:rPr>
                <w:rFonts w:ascii="仿宋" w:hAnsi="仿宋" w:eastAsia="仿宋" w:cs="宋体"/>
                <w:kern w:val="0"/>
                <w:sz w:val="24"/>
              </w:rPr>
            </w:pPr>
            <w:r>
              <w:rPr>
                <w:rFonts w:hint="eastAsia" w:ascii="仿宋" w:hAnsi="仿宋" w:eastAsia="仿宋" w:cs="宋体"/>
                <w:kern w:val="0"/>
                <w:sz w:val="24"/>
              </w:rPr>
              <w:t>6000</w:t>
            </w:r>
          </w:p>
        </w:tc>
        <w:tc>
          <w:tcPr>
            <w:tcW w:w="1174" w:type="dxa"/>
            <w:tcBorders>
              <w:top w:val="nil"/>
              <w:left w:val="nil"/>
              <w:bottom w:val="single" w:color="auto" w:sz="4" w:space="0"/>
              <w:right w:val="single" w:color="auto" w:sz="4" w:space="0"/>
            </w:tcBorders>
            <w:vAlign w:val="center"/>
          </w:tcPr>
          <w:p w14:paraId="54DD24B5">
            <w:pPr>
              <w:widowControl/>
              <w:jc w:val="center"/>
              <w:rPr>
                <w:rFonts w:ascii="仿宋" w:hAnsi="仿宋" w:eastAsia="仿宋" w:cs="宋体"/>
                <w:kern w:val="0"/>
                <w:sz w:val="24"/>
              </w:rPr>
            </w:pPr>
            <w:r>
              <w:rPr>
                <w:rFonts w:hint="eastAsia" w:ascii="仿宋" w:hAnsi="仿宋" w:eastAsia="仿宋" w:cs="宋体"/>
                <w:kern w:val="0"/>
                <w:sz w:val="24"/>
              </w:rPr>
              <w:t>70</w:t>
            </w:r>
          </w:p>
        </w:tc>
        <w:tc>
          <w:tcPr>
            <w:tcW w:w="1560" w:type="dxa"/>
            <w:tcBorders>
              <w:top w:val="nil"/>
              <w:left w:val="nil"/>
              <w:bottom w:val="single" w:color="auto" w:sz="4" w:space="0"/>
              <w:right w:val="single" w:color="auto" w:sz="4" w:space="0"/>
            </w:tcBorders>
            <w:vAlign w:val="center"/>
          </w:tcPr>
          <w:p w14:paraId="43FE44D0">
            <w:pPr>
              <w:widowControl/>
              <w:jc w:val="center"/>
              <w:rPr>
                <w:rFonts w:ascii="仿宋" w:hAnsi="仿宋" w:eastAsia="仿宋" w:cs="宋体"/>
                <w:kern w:val="0"/>
                <w:sz w:val="24"/>
              </w:rPr>
            </w:pPr>
            <w:r>
              <w:rPr>
                <w:rFonts w:hint="eastAsia" w:ascii="仿宋" w:hAnsi="仿宋" w:eastAsia="仿宋" w:cs="宋体"/>
                <w:kern w:val="0"/>
                <w:sz w:val="24"/>
              </w:rPr>
              <w:t>4000</w:t>
            </w:r>
          </w:p>
        </w:tc>
        <w:tc>
          <w:tcPr>
            <w:tcW w:w="1487" w:type="dxa"/>
            <w:tcBorders>
              <w:top w:val="nil"/>
              <w:left w:val="nil"/>
              <w:bottom w:val="single" w:color="auto" w:sz="4" w:space="0"/>
              <w:right w:val="single" w:color="auto" w:sz="4" w:space="0"/>
            </w:tcBorders>
            <w:vAlign w:val="center"/>
          </w:tcPr>
          <w:p w14:paraId="39A15768">
            <w:pPr>
              <w:widowControl/>
              <w:jc w:val="center"/>
              <w:rPr>
                <w:rFonts w:ascii="仿宋" w:hAnsi="仿宋" w:eastAsia="仿宋" w:cs="宋体"/>
                <w:kern w:val="0"/>
                <w:sz w:val="24"/>
              </w:rPr>
            </w:pPr>
            <w:r>
              <w:rPr>
                <w:rFonts w:hint="eastAsia" w:ascii="仿宋" w:hAnsi="仿宋" w:eastAsia="仿宋" w:cs="宋体"/>
                <w:kern w:val="0"/>
                <w:sz w:val="24"/>
              </w:rPr>
              <w:t>5年</w:t>
            </w:r>
          </w:p>
        </w:tc>
      </w:tr>
      <w:tr w14:paraId="1236F6F2">
        <w:tblPrEx>
          <w:tblCellMar>
            <w:top w:w="0" w:type="dxa"/>
            <w:left w:w="0" w:type="dxa"/>
            <w:bottom w:w="0" w:type="dxa"/>
            <w:right w:w="0" w:type="dxa"/>
          </w:tblCellMar>
        </w:tblPrEx>
        <w:trPr>
          <w:trHeight w:val="465" w:hRule="atLeast"/>
          <w:jc w:val="right"/>
        </w:trPr>
        <w:tc>
          <w:tcPr>
            <w:tcW w:w="755" w:type="dxa"/>
            <w:tcBorders>
              <w:top w:val="nil"/>
              <w:left w:val="single" w:color="auto" w:sz="4" w:space="0"/>
              <w:bottom w:val="single" w:color="auto" w:sz="4" w:space="0"/>
              <w:right w:val="single" w:color="auto" w:sz="4" w:space="0"/>
            </w:tcBorders>
            <w:shd w:val="clear" w:color="auto" w:fill="auto"/>
            <w:vAlign w:val="center"/>
          </w:tcPr>
          <w:p w14:paraId="0BF9A12C">
            <w:pPr>
              <w:widowControl/>
              <w:jc w:val="center"/>
              <w:rPr>
                <w:rFonts w:ascii="仿宋" w:hAnsi="仿宋" w:eastAsia="仿宋"/>
                <w:kern w:val="0"/>
                <w:sz w:val="24"/>
              </w:rPr>
            </w:pPr>
            <w:r>
              <w:rPr>
                <w:rFonts w:ascii="仿宋" w:hAnsi="仿宋" w:eastAsia="仿宋"/>
                <w:kern w:val="0"/>
                <w:sz w:val="24"/>
              </w:rPr>
              <w:t>36</w:t>
            </w:r>
          </w:p>
        </w:tc>
        <w:tc>
          <w:tcPr>
            <w:tcW w:w="822" w:type="dxa"/>
            <w:vMerge w:val="continue"/>
            <w:tcBorders>
              <w:left w:val="single" w:color="auto" w:sz="4" w:space="0"/>
              <w:right w:val="single" w:color="auto" w:sz="4" w:space="0"/>
            </w:tcBorders>
            <w:shd w:val="clear" w:color="auto" w:fill="auto"/>
            <w:vAlign w:val="center"/>
          </w:tcPr>
          <w:p w14:paraId="12D4F8A2">
            <w:pPr>
              <w:jc w:val="center"/>
              <w:rPr>
                <w:rFonts w:ascii="仿宋" w:hAnsi="仿宋" w:eastAsia="仿宋"/>
                <w:kern w:val="0"/>
                <w:sz w:val="24"/>
              </w:rPr>
            </w:pPr>
          </w:p>
        </w:tc>
        <w:tc>
          <w:tcPr>
            <w:tcW w:w="1386" w:type="dxa"/>
            <w:tcBorders>
              <w:top w:val="nil"/>
              <w:left w:val="nil"/>
              <w:bottom w:val="single" w:color="auto" w:sz="4" w:space="0"/>
              <w:right w:val="single" w:color="auto" w:sz="4" w:space="0"/>
            </w:tcBorders>
            <w:shd w:val="clear" w:color="000000" w:fill="FFFFFF"/>
            <w:vAlign w:val="center"/>
          </w:tcPr>
          <w:p w14:paraId="4272107F">
            <w:pPr>
              <w:widowControl/>
              <w:jc w:val="center"/>
              <w:rPr>
                <w:rFonts w:ascii="仿宋" w:hAnsi="仿宋" w:eastAsia="仿宋"/>
                <w:kern w:val="0"/>
                <w:sz w:val="24"/>
              </w:rPr>
            </w:pPr>
            <w:r>
              <w:rPr>
                <w:rFonts w:ascii="仿宋" w:hAnsi="仿宋" w:eastAsia="仿宋"/>
                <w:kern w:val="0"/>
                <w:sz w:val="24"/>
              </w:rPr>
              <w:t>M08403</w:t>
            </w:r>
          </w:p>
        </w:tc>
        <w:tc>
          <w:tcPr>
            <w:tcW w:w="3598" w:type="dxa"/>
            <w:tcBorders>
              <w:top w:val="nil"/>
              <w:left w:val="nil"/>
              <w:bottom w:val="single" w:color="auto" w:sz="4" w:space="0"/>
              <w:right w:val="single" w:color="auto" w:sz="4" w:space="0"/>
            </w:tcBorders>
            <w:shd w:val="clear" w:color="000000" w:fill="FFFFFF"/>
            <w:vAlign w:val="center"/>
          </w:tcPr>
          <w:p w14:paraId="5FA6F9F4">
            <w:pPr>
              <w:widowControl/>
              <w:jc w:val="center"/>
              <w:rPr>
                <w:rFonts w:ascii="仿宋" w:hAnsi="仿宋" w:eastAsia="仿宋"/>
                <w:kern w:val="0"/>
                <w:sz w:val="24"/>
              </w:rPr>
            </w:pPr>
            <w:r>
              <w:rPr>
                <w:rFonts w:ascii="仿宋" w:hAnsi="仿宋" w:eastAsia="仿宋"/>
                <w:kern w:val="0"/>
                <w:sz w:val="24"/>
              </w:rPr>
              <w:t>血管支架植入术后状态</w:t>
            </w:r>
          </w:p>
        </w:tc>
        <w:tc>
          <w:tcPr>
            <w:tcW w:w="1180" w:type="dxa"/>
            <w:tcBorders>
              <w:top w:val="nil"/>
              <w:left w:val="nil"/>
              <w:bottom w:val="single" w:color="auto" w:sz="4" w:space="0"/>
              <w:right w:val="single" w:color="auto" w:sz="4" w:space="0"/>
            </w:tcBorders>
            <w:vAlign w:val="center"/>
          </w:tcPr>
          <w:p w14:paraId="57AE477E">
            <w:pPr>
              <w:widowControl/>
              <w:jc w:val="center"/>
              <w:rPr>
                <w:rFonts w:ascii="仿宋" w:hAnsi="仿宋" w:eastAsia="仿宋"/>
                <w:kern w:val="0"/>
                <w:sz w:val="24"/>
              </w:rPr>
            </w:pPr>
            <w:r>
              <w:rPr>
                <w:rFonts w:ascii="仿宋" w:hAnsi="仿宋" w:eastAsia="仿宋"/>
                <w:kern w:val="0"/>
                <w:sz w:val="24"/>
              </w:rPr>
              <w:t>85</w:t>
            </w:r>
          </w:p>
        </w:tc>
        <w:tc>
          <w:tcPr>
            <w:tcW w:w="1394" w:type="dxa"/>
            <w:tcBorders>
              <w:top w:val="nil"/>
              <w:left w:val="nil"/>
              <w:bottom w:val="single" w:color="auto" w:sz="4" w:space="0"/>
              <w:right w:val="single" w:color="auto" w:sz="4" w:space="0"/>
            </w:tcBorders>
            <w:vAlign w:val="center"/>
          </w:tcPr>
          <w:p w14:paraId="30E1F6E5">
            <w:pPr>
              <w:widowControl/>
              <w:jc w:val="center"/>
              <w:rPr>
                <w:rFonts w:ascii="仿宋" w:hAnsi="仿宋" w:eastAsia="仿宋" w:cs="宋体"/>
                <w:kern w:val="0"/>
                <w:sz w:val="24"/>
              </w:rPr>
            </w:pPr>
            <w:r>
              <w:rPr>
                <w:rFonts w:hint="eastAsia" w:ascii="仿宋" w:hAnsi="仿宋" w:eastAsia="仿宋" w:cs="宋体"/>
                <w:kern w:val="0"/>
                <w:sz w:val="24"/>
              </w:rPr>
              <w:t>6000</w:t>
            </w:r>
          </w:p>
        </w:tc>
        <w:tc>
          <w:tcPr>
            <w:tcW w:w="1174" w:type="dxa"/>
            <w:tcBorders>
              <w:top w:val="nil"/>
              <w:left w:val="nil"/>
              <w:bottom w:val="single" w:color="auto" w:sz="4" w:space="0"/>
              <w:right w:val="single" w:color="auto" w:sz="4" w:space="0"/>
            </w:tcBorders>
            <w:vAlign w:val="center"/>
          </w:tcPr>
          <w:p w14:paraId="510F2F4C">
            <w:pPr>
              <w:widowControl/>
              <w:jc w:val="center"/>
              <w:rPr>
                <w:rFonts w:ascii="仿宋" w:hAnsi="仿宋" w:eastAsia="仿宋" w:cs="宋体"/>
                <w:kern w:val="0"/>
                <w:sz w:val="24"/>
              </w:rPr>
            </w:pPr>
            <w:r>
              <w:rPr>
                <w:rFonts w:hint="eastAsia" w:ascii="仿宋" w:hAnsi="仿宋" w:eastAsia="仿宋" w:cs="宋体"/>
                <w:kern w:val="0"/>
                <w:sz w:val="24"/>
              </w:rPr>
              <w:t>70</w:t>
            </w:r>
          </w:p>
        </w:tc>
        <w:tc>
          <w:tcPr>
            <w:tcW w:w="1560" w:type="dxa"/>
            <w:tcBorders>
              <w:top w:val="nil"/>
              <w:left w:val="nil"/>
              <w:bottom w:val="single" w:color="auto" w:sz="4" w:space="0"/>
              <w:right w:val="single" w:color="auto" w:sz="4" w:space="0"/>
            </w:tcBorders>
            <w:vAlign w:val="center"/>
          </w:tcPr>
          <w:p w14:paraId="3C817356">
            <w:pPr>
              <w:widowControl/>
              <w:jc w:val="center"/>
              <w:rPr>
                <w:rFonts w:ascii="仿宋" w:hAnsi="仿宋" w:eastAsia="仿宋" w:cs="宋体"/>
                <w:kern w:val="0"/>
                <w:sz w:val="24"/>
              </w:rPr>
            </w:pPr>
            <w:r>
              <w:rPr>
                <w:rFonts w:hint="eastAsia" w:ascii="仿宋" w:hAnsi="仿宋" w:eastAsia="仿宋" w:cs="宋体"/>
                <w:kern w:val="0"/>
                <w:sz w:val="24"/>
              </w:rPr>
              <w:t>4000</w:t>
            </w:r>
          </w:p>
        </w:tc>
        <w:tc>
          <w:tcPr>
            <w:tcW w:w="1487" w:type="dxa"/>
            <w:tcBorders>
              <w:top w:val="nil"/>
              <w:left w:val="nil"/>
              <w:bottom w:val="single" w:color="auto" w:sz="4" w:space="0"/>
              <w:right w:val="single" w:color="auto" w:sz="4" w:space="0"/>
            </w:tcBorders>
            <w:vAlign w:val="center"/>
          </w:tcPr>
          <w:p w14:paraId="5486AB82">
            <w:pPr>
              <w:widowControl/>
              <w:jc w:val="center"/>
              <w:rPr>
                <w:rFonts w:ascii="仿宋" w:hAnsi="仿宋" w:eastAsia="仿宋" w:cs="宋体"/>
                <w:kern w:val="0"/>
                <w:sz w:val="24"/>
              </w:rPr>
            </w:pPr>
            <w:r>
              <w:rPr>
                <w:rFonts w:hint="eastAsia" w:ascii="仿宋" w:hAnsi="仿宋" w:eastAsia="仿宋" w:cs="宋体"/>
                <w:kern w:val="0"/>
                <w:sz w:val="24"/>
              </w:rPr>
              <w:t>5年</w:t>
            </w:r>
          </w:p>
        </w:tc>
      </w:tr>
      <w:tr w14:paraId="47E49FE1">
        <w:tblPrEx>
          <w:tblCellMar>
            <w:top w:w="0" w:type="dxa"/>
            <w:left w:w="0" w:type="dxa"/>
            <w:bottom w:w="0" w:type="dxa"/>
            <w:right w:w="0" w:type="dxa"/>
          </w:tblCellMar>
        </w:tblPrEx>
        <w:trPr>
          <w:trHeight w:val="465" w:hRule="atLeast"/>
          <w:jc w:val="right"/>
        </w:trPr>
        <w:tc>
          <w:tcPr>
            <w:tcW w:w="755" w:type="dxa"/>
            <w:tcBorders>
              <w:top w:val="nil"/>
              <w:left w:val="single" w:color="auto" w:sz="4" w:space="0"/>
              <w:bottom w:val="single" w:color="auto" w:sz="4" w:space="0"/>
              <w:right w:val="single" w:color="auto" w:sz="4" w:space="0"/>
            </w:tcBorders>
            <w:shd w:val="clear" w:color="auto" w:fill="auto"/>
            <w:vAlign w:val="center"/>
          </w:tcPr>
          <w:p w14:paraId="672E7BEF">
            <w:pPr>
              <w:widowControl/>
              <w:jc w:val="center"/>
              <w:rPr>
                <w:rFonts w:ascii="仿宋" w:hAnsi="仿宋" w:eastAsia="仿宋"/>
                <w:kern w:val="0"/>
                <w:sz w:val="24"/>
              </w:rPr>
            </w:pPr>
            <w:r>
              <w:rPr>
                <w:rFonts w:ascii="仿宋" w:hAnsi="仿宋" w:eastAsia="仿宋"/>
                <w:kern w:val="0"/>
                <w:sz w:val="24"/>
              </w:rPr>
              <w:t>37</w:t>
            </w:r>
          </w:p>
        </w:tc>
        <w:tc>
          <w:tcPr>
            <w:tcW w:w="822" w:type="dxa"/>
            <w:vMerge w:val="continue"/>
            <w:tcBorders>
              <w:left w:val="single" w:color="auto" w:sz="4" w:space="0"/>
              <w:right w:val="single" w:color="auto" w:sz="4" w:space="0"/>
            </w:tcBorders>
            <w:shd w:val="clear" w:color="auto" w:fill="auto"/>
            <w:vAlign w:val="center"/>
          </w:tcPr>
          <w:p w14:paraId="37645191">
            <w:pPr>
              <w:jc w:val="center"/>
              <w:rPr>
                <w:rFonts w:ascii="仿宋" w:hAnsi="仿宋" w:eastAsia="仿宋"/>
                <w:kern w:val="0"/>
                <w:sz w:val="24"/>
              </w:rPr>
            </w:pPr>
          </w:p>
        </w:tc>
        <w:tc>
          <w:tcPr>
            <w:tcW w:w="1386" w:type="dxa"/>
            <w:tcBorders>
              <w:top w:val="nil"/>
              <w:left w:val="nil"/>
              <w:bottom w:val="single" w:color="auto" w:sz="4" w:space="0"/>
              <w:right w:val="single" w:color="auto" w:sz="4" w:space="0"/>
            </w:tcBorders>
            <w:shd w:val="clear" w:color="000000" w:fill="FFFFFF"/>
            <w:vAlign w:val="center"/>
          </w:tcPr>
          <w:p w14:paraId="6BC82D17">
            <w:pPr>
              <w:widowControl/>
              <w:jc w:val="center"/>
              <w:rPr>
                <w:rFonts w:ascii="仿宋" w:hAnsi="仿宋" w:eastAsia="仿宋"/>
                <w:kern w:val="0"/>
                <w:sz w:val="24"/>
              </w:rPr>
            </w:pPr>
            <w:r>
              <w:rPr>
                <w:rFonts w:ascii="仿宋" w:hAnsi="仿宋" w:eastAsia="仿宋"/>
                <w:kern w:val="0"/>
                <w:sz w:val="24"/>
              </w:rPr>
              <w:t>M04600</w:t>
            </w:r>
          </w:p>
        </w:tc>
        <w:tc>
          <w:tcPr>
            <w:tcW w:w="3598" w:type="dxa"/>
            <w:tcBorders>
              <w:top w:val="nil"/>
              <w:left w:val="nil"/>
              <w:bottom w:val="single" w:color="auto" w:sz="4" w:space="0"/>
              <w:right w:val="single" w:color="auto" w:sz="4" w:space="0"/>
            </w:tcBorders>
            <w:shd w:val="clear" w:color="000000" w:fill="FFFFFF"/>
            <w:vAlign w:val="center"/>
          </w:tcPr>
          <w:p w14:paraId="41C3E35D">
            <w:pPr>
              <w:widowControl/>
              <w:jc w:val="center"/>
              <w:rPr>
                <w:rFonts w:ascii="仿宋" w:hAnsi="仿宋" w:eastAsia="仿宋"/>
                <w:kern w:val="0"/>
                <w:sz w:val="24"/>
              </w:rPr>
            </w:pPr>
            <w:r>
              <w:rPr>
                <w:rFonts w:ascii="仿宋" w:hAnsi="仿宋" w:eastAsia="仿宋"/>
                <w:kern w:val="0"/>
                <w:sz w:val="24"/>
              </w:rPr>
              <w:t>冠心病</w:t>
            </w:r>
          </w:p>
        </w:tc>
        <w:tc>
          <w:tcPr>
            <w:tcW w:w="1180" w:type="dxa"/>
            <w:tcBorders>
              <w:top w:val="nil"/>
              <w:left w:val="nil"/>
              <w:bottom w:val="single" w:color="auto" w:sz="4" w:space="0"/>
              <w:right w:val="single" w:color="auto" w:sz="4" w:space="0"/>
            </w:tcBorders>
            <w:vAlign w:val="center"/>
          </w:tcPr>
          <w:p w14:paraId="71414928">
            <w:pPr>
              <w:widowControl/>
              <w:jc w:val="center"/>
              <w:rPr>
                <w:rFonts w:ascii="仿宋" w:hAnsi="仿宋" w:eastAsia="仿宋"/>
                <w:kern w:val="0"/>
                <w:sz w:val="24"/>
              </w:rPr>
            </w:pPr>
            <w:r>
              <w:rPr>
                <w:rFonts w:ascii="仿宋" w:hAnsi="仿宋" w:eastAsia="仿宋"/>
                <w:kern w:val="0"/>
                <w:sz w:val="24"/>
              </w:rPr>
              <w:t>85</w:t>
            </w:r>
          </w:p>
        </w:tc>
        <w:tc>
          <w:tcPr>
            <w:tcW w:w="1394" w:type="dxa"/>
            <w:tcBorders>
              <w:top w:val="nil"/>
              <w:left w:val="nil"/>
              <w:bottom w:val="single" w:color="auto" w:sz="4" w:space="0"/>
              <w:right w:val="single" w:color="auto" w:sz="4" w:space="0"/>
            </w:tcBorders>
            <w:vAlign w:val="center"/>
          </w:tcPr>
          <w:p w14:paraId="568A88E4">
            <w:pPr>
              <w:widowControl/>
              <w:jc w:val="center"/>
              <w:rPr>
                <w:rFonts w:ascii="仿宋" w:hAnsi="仿宋" w:eastAsia="仿宋" w:cs="宋体"/>
                <w:kern w:val="0"/>
                <w:sz w:val="24"/>
              </w:rPr>
            </w:pPr>
            <w:r>
              <w:rPr>
                <w:rFonts w:hint="eastAsia" w:ascii="仿宋" w:hAnsi="仿宋" w:eastAsia="仿宋" w:cs="宋体"/>
                <w:kern w:val="0"/>
                <w:sz w:val="24"/>
              </w:rPr>
              <w:t>5000</w:t>
            </w:r>
          </w:p>
        </w:tc>
        <w:tc>
          <w:tcPr>
            <w:tcW w:w="1174" w:type="dxa"/>
            <w:tcBorders>
              <w:top w:val="nil"/>
              <w:left w:val="nil"/>
              <w:bottom w:val="single" w:color="auto" w:sz="4" w:space="0"/>
              <w:right w:val="single" w:color="auto" w:sz="4" w:space="0"/>
            </w:tcBorders>
            <w:vAlign w:val="center"/>
          </w:tcPr>
          <w:p w14:paraId="261C0FE7">
            <w:pPr>
              <w:widowControl/>
              <w:jc w:val="center"/>
              <w:rPr>
                <w:rFonts w:ascii="仿宋" w:hAnsi="仿宋" w:eastAsia="仿宋" w:cs="宋体"/>
                <w:kern w:val="0"/>
                <w:sz w:val="24"/>
              </w:rPr>
            </w:pPr>
            <w:r>
              <w:rPr>
                <w:rFonts w:hint="eastAsia" w:ascii="仿宋" w:hAnsi="仿宋" w:eastAsia="仿宋" w:cs="宋体"/>
                <w:kern w:val="0"/>
                <w:sz w:val="24"/>
              </w:rPr>
              <w:t>70</w:t>
            </w:r>
          </w:p>
        </w:tc>
        <w:tc>
          <w:tcPr>
            <w:tcW w:w="1560" w:type="dxa"/>
            <w:tcBorders>
              <w:top w:val="nil"/>
              <w:left w:val="nil"/>
              <w:bottom w:val="single" w:color="auto" w:sz="4" w:space="0"/>
              <w:right w:val="single" w:color="auto" w:sz="4" w:space="0"/>
            </w:tcBorders>
            <w:vAlign w:val="center"/>
          </w:tcPr>
          <w:p w14:paraId="415A2591">
            <w:pPr>
              <w:widowControl/>
              <w:jc w:val="center"/>
              <w:rPr>
                <w:rFonts w:ascii="仿宋" w:hAnsi="仿宋" w:eastAsia="仿宋" w:cs="宋体"/>
                <w:kern w:val="0"/>
                <w:sz w:val="24"/>
              </w:rPr>
            </w:pPr>
            <w:r>
              <w:rPr>
                <w:rFonts w:hint="eastAsia" w:ascii="仿宋" w:hAnsi="仿宋" w:eastAsia="仿宋" w:cs="宋体"/>
                <w:kern w:val="0"/>
                <w:sz w:val="24"/>
              </w:rPr>
              <w:t>3000</w:t>
            </w:r>
          </w:p>
        </w:tc>
        <w:tc>
          <w:tcPr>
            <w:tcW w:w="1487" w:type="dxa"/>
            <w:tcBorders>
              <w:top w:val="nil"/>
              <w:left w:val="nil"/>
              <w:bottom w:val="single" w:color="auto" w:sz="4" w:space="0"/>
              <w:right w:val="single" w:color="auto" w:sz="4" w:space="0"/>
            </w:tcBorders>
            <w:vAlign w:val="center"/>
          </w:tcPr>
          <w:p w14:paraId="2B99C45A">
            <w:pPr>
              <w:widowControl/>
              <w:jc w:val="center"/>
              <w:rPr>
                <w:rFonts w:ascii="仿宋" w:hAnsi="仿宋" w:eastAsia="仿宋" w:cs="宋体"/>
                <w:kern w:val="0"/>
                <w:sz w:val="24"/>
              </w:rPr>
            </w:pPr>
            <w:r>
              <w:rPr>
                <w:rFonts w:hint="eastAsia" w:ascii="仿宋" w:hAnsi="仿宋" w:eastAsia="仿宋" w:cs="宋体"/>
                <w:kern w:val="0"/>
                <w:sz w:val="24"/>
              </w:rPr>
              <w:t>5年</w:t>
            </w:r>
          </w:p>
        </w:tc>
      </w:tr>
      <w:tr w14:paraId="176C90DD">
        <w:tblPrEx>
          <w:tblCellMar>
            <w:top w:w="0" w:type="dxa"/>
            <w:left w:w="0" w:type="dxa"/>
            <w:bottom w:w="0" w:type="dxa"/>
            <w:right w:w="0" w:type="dxa"/>
          </w:tblCellMar>
        </w:tblPrEx>
        <w:trPr>
          <w:trHeight w:val="465" w:hRule="atLeast"/>
          <w:jc w:val="right"/>
        </w:trPr>
        <w:tc>
          <w:tcPr>
            <w:tcW w:w="755" w:type="dxa"/>
            <w:tcBorders>
              <w:top w:val="nil"/>
              <w:left w:val="single" w:color="auto" w:sz="4" w:space="0"/>
              <w:bottom w:val="single" w:color="auto" w:sz="4" w:space="0"/>
              <w:right w:val="single" w:color="auto" w:sz="4" w:space="0"/>
            </w:tcBorders>
            <w:shd w:val="clear" w:color="auto" w:fill="auto"/>
            <w:vAlign w:val="center"/>
          </w:tcPr>
          <w:p w14:paraId="0C53BEF5">
            <w:pPr>
              <w:widowControl/>
              <w:jc w:val="center"/>
              <w:rPr>
                <w:rFonts w:ascii="仿宋" w:hAnsi="仿宋" w:eastAsia="仿宋"/>
                <w:kern w:val="0"/>
                <w:sz w:val="24"/>
              </w:rPr>
            </w:pPr>
            <w:r>
              <w:rPr>
                <w:rFonts w:ascii="仿宋" w:hAnsi="仿宋" w:eastAsia="仿宋"/>
                <w:kern w:val="0"/>
                <w:sz w:val="24"/>
              </w:rPr>
              <w:t>38</w:t>
            </w:r>
          </w:p>
        </w:tc>
        <w:tc>
          <w:tcPr>
            <w:tcW w:w="822" w:type="dxa"/>
            <w:vMerge w:val="continue"/>
            <w:tcBorders>
              <w:left w:val="single" w:color="auto" w:sz="4" w:space="0"/>
              <w:right w:val="single" w:color="auto" w:sz="4" w:space="0"/>
            </w:tcBorders>
            <w:shd w:val="clear" w:color="auto" w:fill="auto"/>
            <w:vAlign w:val="center"/>
          </w:tcPr>
          <w:p w14:paraId="3CBE263F">
            <w:pPr>
              <w:widowControl/>
              <w:jc w:val="center"/>
              <w:rPr>
                <w:rFonts w:ascii="仿宋" w:hAnsi="仿宋" w:eastAsia="仿宋"/>
                <w:kern w:val="0"/>
                <w:sz w:val="24"/>
              </w:rPr>
            </w:pPr>
          </w:p>
        </w:tc>
        <w:tc>
          <w:tcPr>
            <w:tcW w:w="1386" w:type="dxa"/>
            <w:tcBorders>
              <w:top w:val="nil"/>
              <w:left w:val="nil"/>
              <w:bottom w:val="single" w:color="auto" w:sz="4" w:space="0"/>
              <w:right w:val="single" w:color="auto" w:sz="4" w:space="0"/>
            </w:tcBorders>
            <w:shd w:val="clear" w:color="000000" w:fill="FFFFFF"/>
            <w:vAlign w:val="center"/>
          </w:tcPr>
          <w:p w14:paraId="71E71912">
            <w:pPr>
              <w:widowControl/>
              <w:jc w:val="center"/>
              <w:rPr>
                <w:rFonts w:ascii="仿宋" w:hAnsi="仿宋" w:eastAsia="仿宋"/>
                <w:kern w:val="0"/>
                <w:sz w:val="24"/>
              </w:rPr>
            </w:pPr>
            <w:r>
              <w:rPr>
                <w:rFonts w:ascii="仿宋" w:hAnsi="仿宋" w:eastAsia="仿宋"/>
                <w:kern w:val="0"/>
                <w:sz w:val="24"/>
              </w:rPr>
              <w:t>M04301</w:t>
            </w:r>
          </w:p>
        </w:tc>
        <w:tc>
          <w:tcPr>
            <w:tcW w:w="3598" w:type="dxa"/>
            <w:tcBorders>
              <w:top w:val="nil"/>
              <w:left w:val="nil"/>
              <w:bottom w:val="single" w:color="auto" w:sz="4" w:space="0"/>
              <w:right w:val="single" w:color="auto" w:sz="4" w:space="0"/>
            </w:tcBorders>
            <w:shd w:val="clear" w:color="000000" w:fill="FFFFFF"/>
            <w:vAlign w:val="center"/>
          </w:tcPr>
          <w:p w14:paraId="32A72FDE">
            <w:pPr>
              <w:widowControl/>
              <w:jc w:val="center"/>
              <w:rPr>
                <w:rFonts w:ascii="仿宋" w:hAnsi="仿宋" w:eastAsia="仿宋"/>
                <w:kern w:val="0"/>
                <w:sz w:val="24"/>
              </w:rPr>
            </w:pPr>
            <w:r>
              <w:rPr>
                <w:rFonts w:ascii="仿宋" w:hAnsi="仿宋" w:eastAsia="仿宋"/>
                <w:kern w:val="0"/>
                <w:sz w:val="24"/>
              </w:rPr>
              <w:t>慢性心力衰竭</w:t>
            </w:r>
          </w:p>
        </w:tc>
        <w:tc>
          <w:tcPr>
            <w:tcW w:w="1180" w:type="dxa"/>
            <w:tcBorders>
              <w:top w:val="nil"/>
              <w:left w:val="nil"/>
              <w:bottom w:val="single" w:color="auto" w:sz="4" w:space="0"/>
              <w:right w:val="single" w:color="auto" w:sz="4" w:space="0"/>
            </w:tcBorders>
            <w:vAlign w:val="center"/>
          </w:tcPr>
          <w:p w14:paraId="181FA77F">
            <w:pPr>
              <w:widowControl/>
              <w:jc w:val="center"/>
              <w:rPr>
                <w:rFonts w:ascii="仿宋" w:hAnsi="仿宋" w:eastAsia="仿宋"/>
                <w:kern w:val="0"/>
                <w:sz w:val="24"/>
              </w:rPr>
            </w:pPr>
            <w:r>
              <w:rPr>
                <w:rFonts w:ascii="仿宋" w:hAnsi="仿宋" w:eastAsia="仿宋"/>
                <w:kern w:val="0"/>
                <w:sz w:val="24"/>
              </w:rPr>
              <w:t>85</w:t>
            </w:r>
          </w:p>
        </w:tc>
        <w:tc>
          <w:tcPr>
            <w:tcW w:w="1394" w:type="dxa"/>
            <w:tcBorders>
              <w:top w:val="nil"/>
              <w:left w:val="nil"/>
              <w:bottom w:val="single" w:color="auto" w:sz="4" w:space="0"/>
              <w:right w:val="single" w:color="auto" w:sz="4" w:space="0"/>
            </w:tcBorders>
            <w:vAlign w:val="center"/>
          </w:tcPr>
          <w:p w14:paraId="56E38763">
            <w:pPr>
              <w:widowControl/>
              <w:jc w:val="center"/>
              <w:rPr>
                <w:rFonts w:ascii="仿宋" w:hAnsi="仿宋" w:eastAsia="仿宋" w:cs="宋体"/>
                <w:kern w:val="0"/>
                <w:sz w:val="24"/>
              </w:rPr>
            </w:pPr>
            <w:r>
              <w:rPr>
                <w:rFonts w:hint="eastAsia" w:ascii="仿宋" w:hAnsi="仿宋" w:eastAsia="仿宋" w:cs="宋体"/>
                <w:kern w:val="0"/>
                <w:sz w:val="24"/>
              </w:rPr>
              <w:t>7000</w:t>
            </w:r>
          </w:p>
        </w:tc>
        <w:tc>
          <w:tcPr>
            <w:tcW w:w="1174" w:type="dxa"/>
            <w:tcBorders>
              <w:top w:val="nil"/>
              <w:left w:val="nil"/>
              <w:bottom w:val="single" w:color="auto" w:sz="4" w:space="0"/>
              <w:right w:val="single" w:color="auto" w:sz="4" w:space="0"/>
            </w:tcBorders>
            <w:vAlign w:val="center"/>
          </w:tcPr>
          <w:p w14:paraId="53917140">
            <w:pPr>
              <w:widowControl/>
              <w:jc w:val="center"/>
              <w:rPr>
                <w:rFonts w:ascii="仿宋" w:hAnsi="仿宋" w:eastAsia="仿宋" w:cs="宋体"/>
                <w:kern w:val="0"/>
                <w:sz w:val="24"/>
              </w:rPr>
            </w:pPr>
            <w:r>
              <w:rPr>
                <w:rFonts w:hint="eastAsia" w:ascii="仿宋" w:hAnsi="仿宋" w:eastAsia="仿宋" w:cs="宋体"/>
                <w:kern w:val="0"/>
                <w:sz w:val="24"/>
              </w:rPr>
              <w:t>70</w:t>
            </w:r>
          </w:p>
        </w:tc>
        <w:tc>
          <w:tcPr>
            <w:tcW w:w="1560" w:type="dxa"/>
            <w:tcBorders>
              <w:top w:val="nil"/>
              <w:left w:val="nil"/>
              <w:bottom w:val="single" w:color="auto" w:sz="4" w:space="0"/>
              <w:right w:val="single" w:color="auto" w:sz="4" w:space="0"/>
            </w:tcBorders>
            <w:vAlign w:val="center"/>
          </w:tcPr>
          <w:p w14:paraId="7FB9F930">
            <w:pPr>
              <w:widowControl/>
              <w:jc w:val="center"/>
              <w:rPr>
                <w:rFonts w:ascii="仿宋" w:hAnsi="仿宋" w:eastAsia="仿宋" w:cs="宋体"/>
                <w:kern w:val="0"/>
                <w:sz w:val="24"/>
              </w:rPr>
            </w:pPr>
            <w:r>
              <w:rPr>
                <w:rFonts w:hint="eastAsia" w:ascii="仿宋" w:hAnsi="仿宋" w:eastAsia="仿宋" w:cs="宋体"/>
                <w:kern w:val="0"/>
                <w:sz w:val="24"/>
              </w:rPr>
              <w:t>6000</w:t>
            </w:r>
          </w:p>
        </w:tc>
        <w:tc>
          <w:tcPr>
            <w:tcW w:w="1487" w:type="dxa"/>
            <w:tcBorders>
              <w:top w:val="nil"/>
              <w:left w:val="nil"/>
              <w:bottom w:val="single" w:color="auto" w:sz="4" w:space="0"/>
              <w:right w:val="single" w:color="auto" w:sz="4" w:space="0"/>
            </w:tcBorders>
            <w:vAlign w:val="center"/>
          </w:tcPr>
          <w:p w14:paraId="0CBF15B0">
            <w:pPr>
              <w:widowControl/>
              <w:jc w:val="center"/>
              <w:rPr>
                <w:rFonts w:ascii="仿宋" w:hAnsi="仿宋" w:eastAsia="仿宋" w:cs="宋体"/>
                <w:kern w:val="0"/>
                <w:sz w:val="24"/>
              </w:rPr>
            </w:pPr>
            <w:r>
              <w:rPr>
                <w:rFonts w:hint="eastAsia" w:ascii="仿宋" w:hAnsi="仿宋" w:eastAsia="仿宋" w:cs="宋体"/>
                <w:kern w:val="0"/>
                <w:sz w:val="24"/>
              </w:rPr>
              <w:t>长期</w:t>
            </w:r>
          </w:p>
        </w:tc>
      </w:tr>
      <w:tr w14:paraId="35E7414D">
        <w:tblPrEx>
          <w:tblCellMar>
            <w:top w:w="0" w:type="dxa"/>
            <w:left w:w="0" w:type="dxa"/>
            <w:bottom w:w="0" w:type="dxa"/>
            <w:right w:w="0" w:type="dxa"/>
          </w:tblCellMar>
        </w:tblPrEx>
        <w:trPr>
          <w:trHeight w:val="465" w:hRule="atLeast"/>
          <w:jc w:val="right"/>
        </w:trPr>
        <w:tc>
          <w:tcPr>
            <w:tcW w:w="755" w:type="dxa"/>
            <w:tcBorders>
              <w:top w:val="nil"/>
              <w:left w:val="single" w:color="auto" w:sz="4" w:space="0"/>
              <w:bottom w:val="single" w:color="auto" w:sz="4" w:space="0"/>
              <w:right w:val="single" w:color="auto" w:sz="4" w:space="0"/>
            </w:tcBorders>
            <w:shd w:val="clear" w:color="auto" w:fill="auto"/>
            <w:vAlign w:val="center"/>
          </w:tcPr>
          <w:p w14:paraId="2D712915">
            <w:pPr>
              <w:widowControl/>
              <w:jc w:val="center"/>
              <w:rPr>
                <w:rFonts w:ascii="仿宋" w:hAnsi="仿宋" w:eastAsia="仿宋"/>
                <w:kern w:val="0"/>
                <w:sz w:val="24"/>
              </w:rPr>
            </w:pPr>
            <w:r>
              <w:rPr>
                <w:rFonts w:ascii="仿宋" w:hAnsi="仿宋" w:eastAsia="仿宋"/>
                <w:kern w:val="0"/>
                <w:sz w:val="24"/>
              </w:rPr>
              <w:t>39</w:t>
            </w:r>
          </w:p>
        </w:tc>
        <w:tc>
          <w:tcPr>
            <w:tcW w:w="822" w:type="dxa"/>
            <w:vMerge w:val="continue"/>
            <w:tcBorders>
              <w:left w:val="single" w:color="auto" w:sz="4" w:space="0"/>
              <w:right w:val="single" w:color="auto" w:sz="4" w:space="0"/>
            </w:tcBorders>
            <w:shd w:val="clear" w:color="auto" w:fill="auto"/>
            <w:vAlign w:val="center"/>
          </w:tcPr>
          <w:p w14:paraId="48C42063">
            <w:pPr>
              <w:widowControl/>
              <w:jc w:val="left"/>
              <w:rPr>
                <w:rFonts w:ascii="仿宋" w:hAnsi="仿宋" w:eastAsia="仿宋"/>
                <w:kern w:val="0"/>
                <w:sz w:val="24"/>
              </w:rPr>
            </w:pPr>
          </w:p>
        </w:tc>
        <w:tc>
          <w:tcPr>
            <w:tcW w:w="1386" w:type="dxa"/>
            <w:tcBorders>
              <w:top w:val="nil"/>
              <w:left w:val="nil"/>
              <w:bottom w:val="single" w:color="auto" w:sz="4" w:space="0"/>
              <w:right w:val="single" w:color="auto" w:sz="4" w:space="0"/>
            </w:tcBorders>
            <w:shd w:val="clear" w:color="000000" w:fill="FFFFFF"/>
            <w:vAlign w:val="center"/>
          </w:tcPr>
          <w:p w14:paraId="303E620E">
            <w:pPr>
              <w:widowControl/>
              <w:jc w:val="center"/>
              <w:rPr>
                <w:rFonts w:ascii="仿宋" w:hAnsi="仿宋" w:eastAsia="仿宋"/>
                <w:kern w:val="0"/>
                <w:sz w:val="24"/>
              </w:rPr>
            </w:pPr>
            <w:r>
              <w:rPr>
                <w:rFonts w:ascii="仿宋" w:hAnsi="仿宋" w:eastAsia="仿宋"/>
                <w:kern w:val="0"/>
                <w:sz w:val="24"/>
              </w:rPr>
              <w:t>M03914</w:t>
            </w:r>
          </w:p>
        </w:tc>
        <w:tc>
          <w:tcPr>
            <w:tcW w:w="3598" w:type="dxa"/>
            <w:tcBorders>
              <w:top w:val="nil"/>
              <w:left w:val="nil"/>
              <w:bottom w:val="single" w:color="auto" w:sz="4" w:space="0"/>
              <w:right w:val="single" w:color="auto" w:sz="4" w:space="0"/>
            </w:tcBorders>
            <w:shd w:val="clear" w:color="000000" w:fill="FFFFFF"/>
            <w:vAlign w:val="center"/>
          </w:tcPr>
          <w:p w14:paraId="1CB49E2D">
            <w:pPr>
              <w:widowControl/>
              <w:jc w:val="center"/>
              <w:rPr>
                <w:rFonts w:ascii="仿宋" w:hAnsi="仿宋" w:eastAsia="仿宋"/>
                <w:kern w:val="0"/>
                <w:sz w:val="24"/>
              </w:rPr>
            </w:pPr>
            <w:r>
              <w:rPr>
                <w:rFonts w:ascii="仿宋" w:hAnsi="仿宋" w:eastAsia="仿宋"/>
                <w:kern w:val="0"/>
                <w:sz w:val="24"/>
              </w:rPr>
              <w:t>高血压（高危）</w:t>
            </w:r>
          </w:p>
        </w:tc>
        <w:tc>
          <w:tcPr>
            <w:tcW w:w="1180" w:type="dxa"/>
            <w:tcBorders>
              <w:top w:val="nil"/>
              <w:left w:val="nil"/>
              <w:bottom w:val="single" w:color="auto" w:sz="4" w:space="0"/>
              <w:right w:val="single" w:color="auto" w:sz="4" w:space="0"/>
            </w:tcBorders>
            <w:vAlign w:val="center"/>
          </w:tcPr>
          <w:p w14:paraId="215543C9">
            <w:pPr>
              <w:widowControl/>
              <w:jc w:val="center"/>
              <w:rPr>
                <w:rFonts w:ascii="仿宋" w:hAnsi="仿宋" w:eastAsia="仿宋"/>
                <w:kern w:val="0"/>
                <w:sz w:val="24"/>
              </w:rPr>
            </w:pPr>
            <w:r>
              <w:rPr>
                <w:rFonts w:ascii="仿宋" w:hAnsi="仿宋" w:eastAsia="仿宋"/>
                <w:kern w:val="0"/>
                <w:sz w:val="24"/>
              </w:rPr>
              <w:t>85</w:t>
            </w:r>
          </w:p>
        </w:tc>
        <w:tc>
          <w:tcPr>
            <w:tcW w:w="1394" w:type="dxa"/>
            <w:tcBorders>
              <w:top w:val="nil"/>
              <w:left w:val="nil"/>
              <w:bottom w:val="single" w:color="auto" w:sz="4" w:space="0"/>
              <w:right w:val="single" w:color="auto" w:sz="4" w:space="0"/>
            </w:tcBorders>
            <w:vAlign w:val="center"/>
          </w:tcPr>
          <w:p w14:paraId="41D479C9">
            <w:pPr>
              <w:widowControl/>
              <w:jc w:val="center"/>
              <w:rPr>
                <w:rFonts w:ascii="仿宋" w:hAnsi="仿宋" w:eastAsia="仿宋" w:cs="宋体"/>
                <w:kern w:val="0"/>
                <w:sz w:val="24"/>
              </w:rPr>
            </w:pPr>
            <w:r>
              <w:rPr>
                <w:rFonts w:hint="eastAsia" w:ascii="仿宋" w:hAnsi="仿宋" w:eastAsia="仿宋" w:cs="宋体"/>
                <w:kern w:val="0"/>
                <w:sz w:val="24"/>
              </w:rPr>
              <w:t>5000</w:t>
            </w:r>
          </w:p>
        </w:tc>
        <w:tc>
          <w:tcPr>
            <w:tcW w:w="1174" w:type="dxa"/>
            <w:tcBorders>
              <w:top w:val="nil"/>
              <w:left w:val="nil"/>
              <w:bottom w:val="single" w:color="auto" w:sz="4" w:space="0"/>
              <w:right w:val="single" w:color="auto" w:sz="4" w:space="0"/>
            </w:tcBorders>
            <w:vAlign w:val="center"/>
          </w:tcPr>
          <w:p w14:paraId="58ADDBFF">
            <w:pPr>
              <w:widowControl/>
              <w:jc w:val="center"/>
              <w:rPr>
                <w:rFonts w:ascii="仿宋" w:hAnsi="仿宋" w:eastAsia="仿宋" w:cs="宋体"/>
                <w:kern w:val="0"/>
                <w:sz w:val="24"/>
              </w:rPr>
            </w:pPr>
            <w:r>
              <w:rPr>
                <w:rFonts w:hint="eastAsia" w:ascii="仿宋" w:hAnsi="仿宋" w:eastAsia="仿宋" w:cs="宋体"/>
                <w:kern w:val="0"/>
                <w:sz w:val="24"/>
              </w:rPr>
              <w:t>70</w:t>
            </w:r>
          </w:p>
        </w:tc>
        <w:tc>
          <w:tcPr>
            <w:tcW w:w="1560" w:type="dxa"/>
            <w:tcBorders>
              <w:top w:val="nil"/>
              <w:left w:val="nil"/>
              <w:bottom w:val="single" w:color="auto" w:sz="4" w:space="0"/>
              <w:right w:val="single" w:color="auto" w:sz="4" w:space="0"/>
            </w:tcBorders>
            <w:vAlign w:val="center"/>
          </w:tcPr>
          <w:p w14:paraId="10C98B82">
            <w:pPr>
              <w:widowControl/>
              <w:jc w:val="center"/>
              <w:rPr>
                <w:rFonts w:ascii="仿宋" w:hAnsi="仿宋" w:eastAsia="仿宋" w:cs="宋体"/>
                <w:kern w:val="0"/>
                <w:sz w:val="24"/>
              </w:rPr>
            </w:pPr>
            <w:r>
              <w:rPr>
                <w:rFonts w:hint="eastAsia" w:ascii="仿宋" w:hAnsi="仿宋" w:eastAsia="仿宋" w:cs="宋体"/>
                <w:kern w:val="0"/>
                <w:sz w:val="24"/>
              </w:rPr>
              <w:t>3000</w:t>
            </w:r>
          </w:p>
        </w:tc>
        <w:tc>
          <w:tcPr>
            <w:tcW w:w="1487" w:type="dxa"/>
            <w:tcBorders>
              <w:top w:val="nil"/>
              <w:left w:val="nil"/>
              <w:bottom w:val="single" w:color="auto" w:sz="4" w:space="0"/>
              <w:right w:val="single" w:color="auto" w:sz="4" w:space="0"/>
            </w:tcBorders>
            <w:vAlign w:val="center"/>
          </w:tcPr>
          <w:p w14:paraId="0CAFFF8C">
            <w:pPr>
              <w:widowControl/>
              <w:jc w:val="center"/>
              <w:rPr>
                <w:rFonts w:ascii="仿宋" w:hAnsi="仿宋" w:eastAsia="仿宋" w:cs="宋体"/>
                <w:kern w:val="0"/>
                <w:sz w:val="24"/>
              </w:rPr>
            </w:pPr>
            <w:r>
              <w:rPr>
                <w:rFonts w:hint="eastAsia" w:ascii="仿宋" w:hAnsi="仿宋" w:eastAsia="仿宋" w:cs="宋体"/>
                <w:kern w:val="0"/>
                <w:sz w:val="24"/>
              </w:rPr>
              <w:t>长期</w:t>
            </w:r>
          </w:p>
        </w:tc>
      </w:tr>
      <w:tr w14:paraId="30D44853">
        <w:tblPrEx>
          <w:tblCellMar>
            <w:top w:w="0" w:type="dxa"/>
            <w:left w:w="0" w:type="dxa"/>
            <w:bottom w:w="0" w:type="dxa"/>
            <w:right w:w="0" w:type="dxa"/>
          </w:tblCellMar>
        </w:tblPrEx>
        <w:trPr>
          <w:trHeight w:val="465" w:hRule="atLeast"/>
          <w:jc w:val="right"/>
        </w:trPr>
        <w:tc>
          <w:tcPr>
            <w:tcW w:w="755" w:type="dxa"/>
            <w:tcBorders>
              <w:top w:val="nil"/>
              <w:left w:val="single" w:color="auto" w:sz="4" w:space="0"/>
              <w:bottom w:val="single" w:color="auto" w:sz="4" w:space="0"/>
              <w:right w:val="single" w:color="auto" w:sz="4" w:space="0"/>
            </w:tcBorders>
            <w:shd w:val="clear" w:color="auto" w:fill="auto"/>
            <w:vAlign w:val="center"/>
          </w:tcPr>
          <w:p w14:paraId="76079469">
            <w:pPr>
              <w:widowControl/>
              <w:jc w:val="center"/>
              <w:rPr>
                <w:rFonts w:ascii="仿宋" w:hAnsi="仿宋" w:eastAsia="仿宋"/>
                <w:kern w:val="0"/>
                <w:sz w:val="24"/>
              </w:rPr>
            </w:pPr>
            <w:r>
              <w:rPr>
                <w:rFonts w:ascii="仿宋" w:hAnsi="仿宋" w:eastAsia="仿宋"/>
                <w:kern w:val="0"/>
                <w:sz w:val="24"/>
              </w:rPr>
              <w:t>40</w:t>
            </w:r>
          </w:p>
        </w:tc>
        <w:tc>
          <w:tcPr>
            <w:tcW w:w="822" w:type="dxa"/>
            <w:vMerge w:val="continue"/>
            <w:tcBorders>
              <w:left w:val="single" w:color="auto" w:sz="4" w:space="0"/>
              <w:right w:val="single" w:color="auto" w:sz="4" w:space="0"/>
            </w:tcBorders>
            <w:shd w:val="clear" w:color="auto" w:fill="auto"/>
            <w:vAlign w:val="center"/>
          </w:tcPr>
          <w:p w14:paraId="07072D17">
            <w:pPr>
              <w:widowControl/>
              <w:jc w:val="left"/>
              <w:rPr>
                <w:rFonts w:ascii="仿宋" w:hAnsi="仿宋" w:eastAsia="仿宋"/>
                <w:kern w:val="0"/>
                <w:sz w:val="24"/>
              </w:rPr>
            </w:pPr>
          </w:p>
        </w:tc>
        <w:tc>
          <w:tcPr>
            <w:tcW w:w="1386" w:type="dxa"/>
            <w:tcBorders>
              <w:top w:val="nil"/>
              <w:left w:val="nil"/>
              <w:bottom w:val="single" w:color="auto" w:sz="4" w:space="0"/>
              <w:right w:val="single" w:color="auto" w:sz="4" w:space="0"/>
            </w:tcBorders>
            <w:shd w:val="clear" w:color="000000" w:fill="FFFFFF"/>
            <w:vAlign w:val="center"/>
          </w:tcPr>
          <w:p w14:paraId="01AC8287">
            <w:pPr>
              <w:widowControl/>
              <w:jc w:val="center"/>
              <w:rPr>
                <w:rFonts w:ascii="仿宋" w:hAnsi="仿宋" w:eastAsia="仿宋"/>
                <w:kern w:val="0"/>
                <w:sz w:val="24"/>
              </w:rPr>
            </w:pPr>
            <w:r>
              <w:rPr>
                <w:rFonts w:ascii="仿宋" w:hAnsi="仿宋" w:eastAsia="仿宋"/>
                <w:kern w:val="0"/>
                <w:sz w:val="24"/>
              </w:rPr>
              <w:t>M01913</w:t>
            </w:r>
          </w:p>
        </w:tc>
        <w:tc>
          <w:tcPr>
            <w:tcW w:w="3598" w:type="dxa"/>
            <w:tcBorders>
              <w:top w:val="nil"/>
              <w:left w:val="nil"/>
              <w:bottom w:val="single" w:color="auto" w:sz="4" w:space="0"/>
              <w:right w:val="single" w:color="auto" w:sz="4" w:space="0"/>
            </w:tcBorders>
            <w:shd w:val="clear" w:color="000000" w:fill="FFFFFF"/>
            <w:vAlign w:val="center"/>
          </w:tcPr>
          <w:p w14:paraId="4C782702">
            <w:pPr>
              <w:widowControl/>
              <w:jc w:val="center"/>
              <w:rPr>
                <w:rFonts w:ascii="仿宋" w:hAnsi="仿宋" w:eastAsia="仿宋"/>
                <w:kern w:val="0"/>
                <w:sz w:val="24"/>
              </w:rPr>
            </w:pPr>
            <w:r>
              <w:rPr>
                <w:rFonts w:ascii="仿宋" w:hAnsi="仿宋" w:eastAsia="仿宋"/>
                <w:kern w:val="0"/>
                <w:sz w:val="24"/>
              </w:rPr>
              <w:t>克山病</w:t>
            </w:r>
          </w:p>
        </w:tc>
        <w:tc>
          <w:tcPr>
            <w:tcW w:w="1180" w:type="dxa"/>
            <w:tcBorders>
              <w:top w:val="nil"/>
              <w:left w:val="nil"/>
              <w:bottom w:val="single" w:color="auto" w:sz="4" w:space="0"/>
              <w:right w:val="single" w:color="auto" w:sz="4" w:space="0"/>
            </w:tcBorders>
            <w:vAlign w:val="center"/>
          </w:tcPr>
          <w:p w14:paraId="5C2FF093">
            <w:pPr>
              <w:widowControl/>
              <w:jc w:val="center"/>
              <w:rPr>
                <w:rFonts w:ascii="仿宋" w:hAnsi="仿宋" w:eastAsia="仿宋"/>
                <w:kern w:val="0"/>
                <w:sz w:val="24"/>
              </w:rPr>
            </w:pPr>
            <w:r>
              <w:rPr>
                <w:rFonts w:ascii="仿宋" w:hAnsi="仿宋" w:eastAsia="仿宋"/>
                <w:kern w:val="0"/>
                <w:sz w:val="24"/>
              </w:rPr>
              <w:t>85</w:t>
            </w:r>
          </w:p>
        </w:tc>
        <w:tc>
          <w:tcPr>
            <w:tcW w:w="1394" w:type="dxa"/>
            <w:tcBorders>
              <w:top w:val="nil"/>
              <w:left w:val="nil"/>
              <w:bottom w:val="single" w:color="auto" w:sz="4" w:space="0"/>
              <w:right w:val="single" w:color="auto" w:sz="4" w:space="0"/>
            </w:tcBorders>
            <w:vAlign w:val="center"/>
          </w:tcPr>
          <w:p w14:paraId="011EA65F">
            <w:pPr>
              <w:widowControl/>
              <w:jc w:val="center"/>
              <w:rPr>
                <w:rFonts w:ascii="仿宋" w:hAnsi="仿宋" w:eastAsia="仿宋" w:cs="宋体"/>
                <w:kern w:val="0"/>
                <w:sz w:val="24"/>
              </w:rPr>
            </w:pPr>
            <w:r>
              <w:rPr>
                <w:rFonts w:hint="eastAsia" w:ascii="仿宋" w:hAnsi="仿宋" w:eastAsia="仿宋" w:cs="宋体"/>
                <w:kern w:val="0"/>
                <w:sz w:val="24"/>
              </w:rPr>
              <w:t>2000</w:t>
            </w:r>
          </w:p>
        </w:tc>
        <w:tc>
          <w:tcPr>
            <w:tcW w:w="1174" w:type="dxa"/>
            <w:tcBorders>
              <w:top w:val="nil"/>
              <w:left w:val="nil"/>
              <w:bottom w:val="single" w:color="auto" w:sz="4" w:space="0"/>
              <w:right w:val="single" w:color="auto" w:sz="4" w:space="0"/>
            </w:tcBorders>
            <w:vAlign w:val="center"/>
          </w:tcPr>
          <w:p w14:paraId="36E5FCBD">
            <w:pPr>
              <w:widowControl/>
              <w:jc w:val="center"/>
              <w:rPr>
                <w:rFonts w:ascii="仿宋" w:hAnsi="仿宋" w:eastAsia="仿宋" w:cs="宋体"/>
                <w:kern w:val="0"/>
                <w:sz w:val="24"/>
              </w:rPr>
            </w:pPr>
            <w:r>
              <w:rPr>
                <w:rFonts w:hint="eastAsia" w:ascii="仿宋" w:hAnsi="仿宋" w:eastAsia="仿宋" w:cs="宋体"/>
                <w:kern w:val="0"/>
                <w:sz w:val="24"/>
              </w:rPr>
              <w:t>70</w:t>
            </w:r>
          </w:p>
        </w:tc>
        <w:tc>
          <w:tcPr>
            <w:tcW w:w="1560" w:type="dxa"/>
            <w:tcBorders>
              <w:top w:val="nil"/>
              <w:left w:val="nil"/>
              <w:bottom w:val="single" w:color="auto" w:sz="4" w:space="0"/>
              <w:right w:val="single" w:color="auto" w:sz="4" w:space="0"/>
            </w:tcBorders>
            <w:vAlign w:val="center"/>
          </w:tcPr>
          <w:p w14:paraId="13B69557">
            <w:pPr>
              <w:widowControl/>
              <w:jc w:val="center"/>
              <w:rPr>
                <w:rFonts w:ascii="仿宋" w:hAnsi="仿宋" w:eastAsia="仿宋" w:cs="宋体"/>
                <w:kern w:val="0"/>
                <w:sz w:val="24"/>
              </w:rPr>
            </w:pPr>
            <w:r>
              <w:rPr>
                <w:rFonts w:hint="eastAsia" w:ascii="仿宋" w:hAnsi="仿宋" w:eastAsia="仿宋" w:cs="宋体"/>
                <w:kern w:val="0"/>
                <w:sz w:val="24"/>
              </w:rPr>
              <w:t>2000</w:t>
            </w:r>
          </w:p>
        </w:tc>
        <w:tc>
          <w:tcPr>
            <w:tcW w:w="1487" w:type="dxa"/>
            <w:tcBorders>
              <w:top w:val="nil"/>
              <w:left w:val="nil"/>
              <w:bottom w:val="single" w:color="auto" w:sz="4" w:space="0"/>
              <w:right w:val="single" w:color="auto" w:sz="4" w:space="0"/>
            </w:tcBorders>
            <w:vAlign w:val="center"/>
          </w:tcPr>
          <w:p w14:paraId="6373603C">
            <w:pPr>
              <w:widowControl/>
              <w:jc w:val="center"/>
              <w:rPr>
                <w:rFonts w:ascii="仿宋" w:hAnsi="仿宋" w:eastAsia="仿宋" w:cs="宋体"/>
                <w:kern w:val="0"/>
                <w:sz w:val="24"/>
              </w:rPr>
            </w:pPr>
            <w:r>
              <w:rPr>
                <w:rFonts w:hint="eastAsia" w:ascii="仿宋" w:hAnsi="仿宋" w:eastAsia="仿宋" w:cs="宋体"/>
                <w:kern w:val="0"/>
                <w:sz w:val="24"/>
              </w:rPr>
              <w:t>长期</w:t>
            </w:r>
          </w:p>
        </w:tc>
      </w:tr>
      <w:tr w14:paraId="51B91A4E">
        <w:tblPrEx>
          <w:tblCellMar>
            <w:top w:w="0" w:type="dxa"/>
            <w:left w:w="0" w:type="dxa"/>
            <w:bottom w:w="0" w:type="dxa"/>
            <w:right w:w="0" w:type="dxa"/>
          </w:tblCellMar>
        </w:tblPrEx>
        <w:trPr>
          <w:trHeight w:val="465" w:hRule="atLeast"/>
          <w:jc w:val="right"/>
        </w:trPr>
        <w:tc>
          <w:tcPr>
            <w:tcW w:w="755" w:type="dxa"/>
            <w:tcBorders>
              <w:top w:val="nil"/>
              <w:left w:val="single" w:color="auto" w:sz="4" w:space="0"/>
              <w:bottom w:val="single" w:color="auto" w:sz="4" w:space="0"/>
              <w:right w:val="single" w:color="auto" w:sz="4" w:space="0"/>
            </w:tcBorders>
            <w:shd w:val="clear" w:color="auto" w:fill="auto"/>
            <w:vAlign w:val="center"/>
          </w:tcPr>
          <w:p w14:paraId="2A3B3C23">
            <w:pPr>
              <w:widowControl/>
              <w:jc w:val="center"/>
              <w:rPr>
                <w:rFonts w:ascii="仿宋" w:hAnsi="仿宋" w:eastAsia="仿宋"/>
                <w:kern w:val="0"/>
                <w:sz w:val="24"/>
              </w:rPr>
            </w:pPr>
            <w:r>
              <w:rPr>
                <w:rFonts w:ascii="仿宋" w:hAnsi="仿宋" w:eastAsia="仿宋"/>
                <w:kern w:val="0"/>
                <w:sz w:val="24"/>
              </w:rPr>
              <w:t>41</w:t>
            </w:r>
          </w:p>
        </w:tc>
        <w:tc>
          <w:tcPr>
            <w:tcW w:w="822" w:type="dxa"/>
            <w:vMerge w:val="continue"/>
            <w:tcBorders>
              <w:left w:val="single" w:color="auto" w:sz="4" w:space="0"/>
              <w:right w:val="single" w:color="auto" w:sz="4" w:space="0"/>
            </w:tcBorders>
            <w:shd w:val="clear" w:color="auto" w:fill="auto"/>
            <w:vAlign w:val="center"/>
          </w:tcPr>
          <w:p w14:paraId="47C8BE23">
            <w:pPr>
              <w:widowControl/>
              <w:jc w:val="left"/>
              <w:rPr>
                <w:rFonts w:ascii="仿宋" w:hAnsi="仿宋" w:eastAsia="仿宋"/>
                <w:kern w:val="0"/>
                <w:sz w:val="24"/>
              </w:rPr>
            </w:pPr>
          </w:p>
        </w:tc>
        <w:tc>
          <w:tcPr>
            <w:tcW w:w="1386" w:type="dxa"/>
            <w:tcBorders>
              <w:top w:val="nil"/>
              <w:left w:val="nil"/>
              <w:bottom w:val="single" w:color="auto" w:sz="4" w:space="0"/>
              <w:right w:val="single" w:color="auto" w:sz="4" w:space="0"/>
            </w:tcBorders>
            <w:shd w:val="clear" w:color="000000" w:fill="FFFFFF"/>
            <w:vAlign w:val="center"/>
          </w:tcPr>
          <w:p w14:paraId="3F170B04">
            <w:pPr>
              <w:widowControl/>
              <w:jc w:val="center"/>
              <w:rPr>
                <w:rFonts w:ascii="仿宋" w:hAnsi="仿宋" w:eastAsia="仿宋"/>
                <w:kern w:val="0"/>
                <w:sz w:val="24"/>
              </w:rPr>
            </w:pPr>
            <w:r>
              <w:rPr>
                <w:rFonts w:ascii="仿宋" w:hAnsi="仿宋" w:eastAsia="仿宋"/>
                <w:kern w:val="0"/>
                <w:sz w:val="24"/>
              </w:rPr>
              <w:t>M07800</w:t>
            </w:r>
          </w:p>
        </w:tc>
        <w:tc>
          <w:tcPr>
            <w:tcW w:w="3598" w:type="dxa"/>
            <w:tcBorders>
              <w:top w:val="nil"/>
              <w:left w:val="nil"/>
              <w:bottom w:val="single" w:color="auto" w:sz="4" w:space="0"/>
              <w:right w:val="single" w:color="auto" w:sz="4" w:space="0"/>
            </w:tcBorders>
            <w:shd w:val="clear" w:color="000000" w:fill="FFFFFF"/>
            <w:vAlign w:val="center"/>
          </w:tcPr>
          <w:p w14:paraId="29B73980">
            <w:pPr>
              <w:widowControl/>
              <w:jc w:val="center"/>
              <w:rPr>
                <w:rFonts w:ascii="仿宋" w:hAnsi="仿宋" w:eastAsia="仿宋"/>
                <w:kern w:val="0"/>
                <w:sz w:val="24"/>
              </w:rPr>
            </w:pPr>
            <w:r>
              <w:rPr>
                <w:rFonts w:ascii="仿宋" w:hAnsi="仿宋" w:eastAsia="仿宋"/>
                <w:kern w:val="0"/>
                <w:sz w:val="24"/>
              </w:rPr>
              <w:t>慢性肾功能衰竭</w:t>
            </w:r>
          </w:p>
        </w:tc>
        <w:tc>
          <w:tcPr>
            <w:tcW w:w="1180" w:type="dxa"/>
            <w:tcBorders>
              <w:top w:val="nil"/>
              <w:left w:val="nil"/>
              <w:bottom w:val="single" w:color="auto" w:sz="4" w:space="0"/>
              <w:right w:val="single" w:color="auto" w:sz="4" w:space="0"/>
            </w:tcBorders>
            <w:vAlign w:val="center"/>
          </w:tcPr>
          <w:p w14:paraId="04FD860B">
            <w:pPr>
              <w:widowControl/>
              <w:jc w:val="center"/>
              <w:rPr>
                <w:rFonts w:ascii="仿宋" w:hAnsi="仿宋" w:eastAsia="仿宋"/>
                <w:kern w:val="0"/>
                <w:sz w:val="24"/>
              </w:rPr>
            </w:pPr>
            <w:r>
              <w:rPr>
                <w:rFonts w:ascii="仿宋" w:hAnsi="仿宋" w:eastAsia="仿宋"/>
                <w:kern w:val="0"/>
                <w:sz w:val="24"/>
              </w:rPr>
              <w:t>85</w:t>
            </w:r>
          </w:p>
        </w:tc>
        <w:tc>
          <w:tcPr>
            <w:tcW w:w="1394" w:type="dxa"/>
            <w:tcBorders>
              <w:top w:val="nil"/>
              <w:left w:val="nil"/>
              <w:bottom w:val="single" w:color="auto" w:sz="4" w:space="0"/>
              <w:right w:val="single" w:color="auto" w:sz="4" w:space="0"/>
            </w:tcBorders>
            <w:vAlign w:val="center"/>
          </w:tcPr>
          <w:p w14:paraId="2708BB9D">
            <w:pPr>
              <w:widowControl/>
              <w:jc w:val="center"/>
              <w:rPr>
                <w:rFonts w:ascii="仿宋" w:hAnsi="仿宋" w:eastAsia="仿宋" w:cs="宋体"/>
                <w:kern w:val="0"/>
                <w:sz w:val="24"/>
              </w:rPr>
            </w:pPr>
            <w:r>
              <w:rPr>
                <w:rFonts w:hint="eastAsia" w:ascii="仿宋" w:hAnsi="仿宋" w:eastAsia="仿宋" w:cs="宋体"/>
                <w:kern w:val="0"/>
                <w:sz w:val="24"/>
              </w:rPr>
              <w:t>10000</w:t>
            </w:r>
          </w:p>
        </w:tc>
        <w:tc>
          <w:tcPr>
            <w:tcW w:w="1174" w:type="dxa"/>
            <w:tcBorders>
              <w:top w:val="nil"/>
              <w:left w:val="nil"/>
              <w:bottom w:val="single" w:color="auto" w:sz="4" w:space="0"/>
              <w:right w:val="single" w:color="auto" w:sz="4" w:space="0"/>
            </w:tcBorders>
            <w:vAlign w:val="center"/>
          </w:tcPr>
          <w:p w14:paraId="214C43AF">
            <w:pPr>
              <w:widowControl/>
              <w:jc w:val="center"/>
              <w:rPr>
                <w:rFonts w:ascii="仿宋" w:hAnsi="仿宋" w:eastAsia="仿宋" w:cs="宋体"/>
                <w:kern w:val="0"/>
                <w:sz w:val="24"/>
              </w:rPr>
            </w:pPr>
            <w:r>
              <w:rPr>
                <w:rFonts w:hint="eastAsia" w:ascii="仿宋" w:hAnsi="仿宋" w:eastAsia="仿宋" w:cs="宋体"/>
                <w:kern w:val="0"/>
                <w:sz w:val="24"/>
              </w:rPr>
              <w:t>70</w:t>
            </w:r>
          </w:p>
        </w:tc>
        <w:tc>
          <w:tcPr>
            <w:tcW w:w="1560" w:type="dxa"/>
            <w:tcBorders>
              <w:top w:val="nil"/>
              <w:left w:val="nil"/>
              <w:bottom w:val="single" w:color="auto" w:sz="4" w:space="0"/>
              <w:right w:val="single" w:color="auto" w:sz="4" w:space="0"/>
            </w:tcBorders>
            <w:vAlign w:val="center"/>
          </w:tcPr>
          <w:p w14:paraId="61D784E1">
            <w:pPr>
              <w:widowControl/>
              <w:jc w:val="center"/>
              <w:rPr>
                <w:rFonts w:ascii="仿宋" w:hAnsi="仿宋" w:eastAsia="仿宋" w:cs="宋体"/>
                <w:kern w:val="0"/>
                <w:sz w:val="24"/>
              </w:rPr>
            </w:pPr>
            <w:r>
              <w:rPr>
                <w:rFonts w:hint="eastAsia" w:ascii="仿宋" w:hAnsi="仿宋" w:eastAsia="仿宋" w:cs="宋体"/>
                <w:kern w:val="0"/>
                <w:sz w:val="24"/>
              </w:rPr>
              <w:t>10000</w:t>
            </w:r>
          </w:p>
        </w:tc>
        <w:tc>
          <w:tcPr>
            <w:tcW w:w="1487" w:type="dxa"/>
            <w:tcBorders>
              <w:top w:val="nil"/>
              <w:left w:val="nil"/>
              <w:bottom w:val="single" w:color="auto" w:sz="4" w:space="0"/>
              <w:right w:val="single" w:color="auto" w:sz="4" w:space="0"/>
            </w:tcBorders>
            <w:vAlign w:val="center"/>
          </w:tcPr>
          <w:p w14:paraId="71733F24">
            <w:pPr>
              <w:widowControl/>
              <w:jc w:val="center"/>
              <w:rPr>
                <w:rFonts w:ascii="仿宋" w:hAnsi="仿宋" w:eastAsia="仿宋" w:cs="宋体"/>
                <w:kern w:val="0"/>
                <w:sz w:val="24"/>
              </w:rPr>
            </w:pPr>
            <w:r>
              <w:rPr>
                <w:rFonts w:hint="eastAsia" w:ascii="仿宋" w:hAnsi="仿宋" w:eastAsia="仿宋" w:cs="宋体"/>
                <w:kern w:val="0"/>
                <w:sz w:val="24"/>
              </w:rPr>
              <w:t>长期</w:t>
            </w:r>
          </w:p>
        </w:tc>
      </w:tr>
      <w:tr w14:paraId="4CA06089">
        <w:tblPrEx>
          <w:tblCellMar>
            <w:top w:w="0" w:type="dxa"/>
            <w:left w:w="0" w:type="dxa"/>
            <w:bottom w:w="0" w:type="dxa"/>
            <w:right w:w="0" w:type="dxa"/>
          </w:tblCellMar>
        </w:tblPrEx>
        <w:trPr>
          <w:trHeight w:val="501" w:hRule="atLeast"/>
          <w:jc w:val="right"/>
        </w:trPr>
        <w:tc>
          <w:tcPr>
            <w:tcW w:w="755" w:type="dxa"/>
            <w:tcBorders>
              <w:top w:val="nil"/>
              <w:left w:val="single" w:color="auto" w:sz="4" w:space="0"/>
              <w:bottom w:val="single" w:color="auto" w:sz="4" w:space="0"/>
              <w:right w:val="single" w:color="auto" w:sz="4" w:space="0"/>
            </w:tcBorders>
            <w:shd w:val="clear" w:color="auto" w:fill="auto"/>
            <w:vAlign w:val="center"/>
          </w:tcPr>
          <w:p w14:paraId="458D22D7">
            <w:pPr>
              <w:widowControl/>
              <w:jc w:val="center"/>
              <w:rPr>
                <w:rFonts w:ascii="仿宋" w:hAnsi="仿宋" w:eastAsia="仿宋"/>
                <w:kern w:val="0"/>
                <w:sz w:val="24"/>
              </w:rPr>
            </w:pPr>
            <w:r>
              <w:rPr>
                <w:rFonts w:ascii="仿宋" w:hAnsi="仿宋" w:eastAsia="仿宋"/>
                <w:kern w:val="0"/>
                <w:sz w:val="24"/>
              </w:rPr>
              <w:t>42</w:t>
            </w:r>
          </w:p>
        </w:tc>
        <w:tc>
          <w:tcPr>
            <w:tcW w:w="822" w:type="dxa"/>
            <w:vMerge w:val="continue"/>
            <w:tcBorders>
              <w:left w:val="single" w:color="auto" w:sz="4" w:space="0"/>
              <w:bottom w:val="single" w:color="000000" w:sz="4" w:space="0"/>
              <w:right w:val="single" w:color="auto" w:sz="4" w:space="0"/>
            </w:tcBorders>
            <w:shd w:val="clear" w:color="auto" w:fill="auto"/>
            <w:vAlign w:val="center"/>
          </w:tcPr>
          <w:p w14:paraId="696B2714">
            <w:pPr>
              <w:widowControl/>
              <w:jc w:val="left"/>
              <w:rPr>
                <w:rFonts w:ascii="仿宋" w:hAnsi="仿宋" w:eastAsia="仿宋"/>
                <w:kern w:val="0"/>
                <w:sz w:val="24"/>
              </w:rPr>
            </w:pPr>
          </w:p>
        </w:tc>
        <w:tc>
          <w:tcPr>
            <w:tcW w:w="1386" w:type="dxa"/>
            <w:tcBorders>
              <w:top w:val="nil"/>
              <w:left w:val="nil"/>
              <w:bottom w:val="single" w:color="auto" w:sz="4" w:space="0"/>
              <w:right w:val="single" w:color="auto" w:sz="4" w:space="0"/>
            </w:tcBorders>
            <w:shd w:val="clear" w:color="000000" w:fill="FFFFFF"/>
            <w:vAlign w:val="center"/>
          </w:tcPr>
          <w:p w14:paraId="5D337ABD">
            <w:pPr>
              <w:widowControl/>
              <w:jc w:val="center"/>
              <w:rPr>
                <w:rFonts w:ascii="仿宋" w:hAnsi="仿宋" w:eastAsia="仿宋"/>
                <w:kern w:val="0"/>
                <w:sz w:val="24"/>
              </w:rPr>
            </w:pPr>
            <w:r>
              <w:rPr>
                <w:rFonts w:ascii="仿宋" w:hAnsi="仿宋" w:eastAsia="仿宋"/>
                <w:kern w:val="0"/>
                <w:sz w:val="24"/>
              </w:rPr>
              <w:t>M07807</w:t>
            </w:r>
          </w:p>
        </w:tc>
        <w:tc>
          <w:tcPr>
            <w:tcW w:w="3598" w:type="dxa"/>
            <w:tcBorders>
              <w:top w:val="nil"/>
              <w:left w:val="nil"/>
              <w:bottom w:val="single" w:color="auto" w:sz="4" w:space="0"/>
              <w:right w:val="single" w:color="auto" w:sz="4" w:space="0"/>
            </w:tcBorders>
            <w:shd w:val="clear" w:color="000000" w:fill="FFFFFF"/>
            <w:vAlign w:val="center"/>
          </w:tcPr>
          <w:p w14:paraId="12B292C4">
            <w:pPr>
              <w:widowControl/>
              <w:jc w:val="center"/>
              <w:rPr>
                <w:rFonts w:ascii="仿宋" w:hAnsi="仿宋" w:eastAsia="仿宋"/>
                <w:kern w:val="0"/>
                <w:sz w:val="24"/>
              </w:rPr>
            </w:pPr>
            <w:r>
              <w:rPr>
                <w:rFonts w:ascii="仿宋" w:hAnsi="仿宋" w:eastAsia="仿宋"/>
                <w:kern w:val="0"/>
                <w:sz w:val="24"/>
              </w:rPr>
              <w:t>慢性肾脏病</w:t>
            </w:r>
          </w:p>
        </w:tc>
        <w:tc>
          <w:tcPr>
            <w:tcW w:w="1180" w:type="dxa"/>
            <w:tcBorders>
              <w:top w:val="nil"/>
              <w:left w:val="nil"/>
              <w:bottom w:val="single" w:color="auto" w:sz="4" w:space="0"/>
              <w:right w:val="single" w:color="auto" w:sz="4" w:space="0"/>
            </w:tcBorders>
            <w:vAlign w:val="center"/>
          </w:tcPr>
          <w:p w14:paraId="30AFEE73">
            <w:pPr>
              <w:widowControl/>
              <w:jc w:val="center"/>
              <w:rPr>
                <w:rFonts w:ascii="仿宋" w:hAnsi="仿宋" w:eastAsia="仿宋"/>
                <w:kern w:val="0"/>
                <w:sz w:val="24"/>
              </w:rPr>
            </w:pPr>
            <w:r>
              <w:rPr>
                <w:rFonts w:ascii="仿宋" w:hAnsi="仿宋" w:eastAsia="仿宋"/>
                <w:kern w:val="0"/>
                <w:sz w:val="24"/>
              </w:rPr>
              <w:t>85</w:t>
            </w:r>
          </w:p>
        </w:tc>
        <w:tc>
          <w:tcPr>
            <w:tcW w:w="1394" w:type="dxa"/>
            <w:tcBorders>
              <w:top w:val="nil"/>
              <w:left w:val="nil"/>
              <w:bottom w:val="single" w:color="auto" w:sz="4" w:space="0"/>
              <w:right w:val="single" w:color="auto" w:sz="4" w:space="0"/>
            </w:tcBorders>
            <w:vAlign w:val="center"/>
          </w:tcPr>
          <w:p w14:paraId="0479B1C6">
            <w:pPr>
              <w:widowControl/>
              <w:jc w:val="center"/>
              <w:rPr>
                <w:rFonts w:ascii="仿宋" w:hAnsi="仿宋" w:eastAsia="仿宋" w:cs="宋体"/>
                <w:kern w:val="0"/>
                <w:sz w:val="24"/>
              </w:rPr>
            </w:pPr>
            <w:r>
              <w:rPr>
                <w:rFonts w:hint="eastAsia" w:ascii="仿宋" w:hAnsi="仿宋" w:eastAsia="仿宋" w:cs="宋体"/>
                <w:kern w:val="0"/>
                <w:sz w:val="24"/>
              </w:rPr>
              <w:t>6000</w:t>
            </w:r>
          </w:p>
        </w:tc>
        <w:tc>
          <w:tcPr>
            <w:tcW w:w="1174" w:type="dxa"/>
            <w:tcBorders>
              <w:top w:val="nil"/>
              <w:left w:val="nil"/>
              <w:bottom w:val="single" w:color="auto" w:sz="4" w:space="0"/>
              <w:right w:val="single" w:color="auto" w:sz="4" w:space="0"/>
            </w:tcBorders>
            <w:vAlign w:val="center"/>
          </w:tcPr>
          <w:p w14:paraId="5F502718">
            <w:pPr>
              <w:widowControl/>
              <w:jc w:val="center"/>
              <w:rPr>
                <w:rFonts w:ascii="仿宋" w:hAnsi="仿宋" w:eastAsia="仿宋" w:cs="宋体"/>
                <w:kern w:val="0"/>
                <w:sz w:val="24"/>
              </w:rPr>
            </w:pPr>
            <w:r>
              <w:rPr>
                <w:rFonts w:hint="eastAsia" w:ascii="仿宋" w:hAnsi="仿宋" w:eastAsia="仿宋" w:cs="宋体"/>
                <w:kern w:val="0"/>
                <w:sz w:val="24"/>
              </w:rPr>
              <w:t>70</w:t>
            </w:r>
          </w:p>
        </w:tc>
        <w:tc>
          <w:tcPr>
            <w:tcW w:w="1560" w:type="dxa"/>
            <w:tcBorders>
              <w:top w:val="nil"/>
              <w:left w:val="nil"/>
              <w:bottom w:val="single" w:color="auto" w:sz="4" w:space="0"/>
              <w:right w:val="single" w:color="auto" w:sz="4" w:space="0"/>
            </w:tcBorders>
            <w:vAlign w:val="center"/>
          </w:tcPr>
          <w:p w14:paraId="14848829">
            <w:pPr>
              <w:widowControl/>
              <w:jc w:val="center"/>
              <w:rPr>
                <w:rFonts w:ascii="仿宋" w:hAnsi="仿宋" w:eastAsia="仿宋" w:cs="宋体"/>
                <w:kern w:val="0"/>
                <w:sz w:val="24"/>
              </w:rPr>
            </w:pPr>
            <w:r>
              <w:rPr>
                <w:rFonts w:hint="eastAsia" w:ascii="仿宋" w:hAnsi="仿宋" w:eastAsia="仿宋" w:cs="宋体"/>
                <w:kern w:val="0"/>
                <w:sz w:val="24"/>
              </w:rPr>
              <w:t>5000</w:t>
            </w:r>
          </w:p>
        </w:tc>
        <w:tc>
          <w:tcPr>
            <w:tcW w:w="1487" w:type="dxa"/>
            <w:tcBorders>
              <w:top w:val="nil"/>
              <w:left w:val="nil"/>
              <w:bottom w:val="single" w:color="auto" w:sz="4" w:space="0"/>
              <w:right w:val="single" w:color="auto" w:sz="4" w:space="0"/>
            </w:tcBorders>
            <w:vAlign w:val="center"/>
          </w:tcPr>
          <w:p w14:paraId="6758FFB6">
            <w:pPr>
              <w:widowControl/>
              <w:jc w:val="center"/>
              <w:rPr>
                <w:rFonts w:ascii="仿宋" w:hAnsi="仿宋" w:eastAsia="仿宋" w:cs="宋体"/>
                <w:kern w:val="0"/>
                <w:sz w:val="24"/>
              </w:rPr>
            </w:pPr>
            <w:r>
              <w:rPr>
                <w:rFonts w:hint="eastAsia" w:ascii="仿宋" w:hAnsi="仿宋" w:eastAsia="仿宋" w:cs="宋体"/>
                <w:kern w:val="0"/>
                <w:sz w:val="24"/>
              </w:rPr>
              <w:t>3年</w:t>
            </w:r>
          </w:p>
        </w:tc>
      </w:tr>
      <w:tr w14:paraId="700ACB20">
        <w:tblPrEx>
          <w:tblCellMar>
            <w:top w:w="0" w:type="dxa"/>
            <w:left w:w="0" w:type="dxa"/>
            <w:bottom w:w="0" w:type="dxa"/>
            <w:right w:w="0" w:type="dxa"/>
          </w:tblCellMar>
        </w:tblPrEx>
        <w:trPr>
          <w:trHeight w:val="501" w:hRule="atLeast"/>
          <w:jc w:val="right"/>
        </w:trPr>
        <w:tc>
          <w:tcPr>
            <w:tcW w:w="755" w:type="dxa"/>
            <w:tcBorders>
              <w:top w:val="nil"/>
              <w:left w:val="single" w:color="auto" w:sz="4" w:space="0"/>
              <w:bottom w:val="single" w:color="auto" w:sz="4" w:space="0"/>
              <w:right w:val="single" w:color="auto" w:sz="4" w:space="0"/>
            </w:tcBorders>
            <w:shd w:val="clear" w:color="auto" w:fill="auto"/>
            <w:vAlign w:val="center"/>
          </w:tcPr>
          <w:p w14:paraId="7ACD8032">
            <w:pPr>
              <w:widowControl/>
              <w:jc w:val="center"/>
              <w:rPr>
                <w:rFonts w:ascii="仿宋" w:hAnsi="仿宋" w:eastAsia="仿宋"/>
                <w:kern w:val="0"/>
                <w:sz w:val="24"/>
              </w:rPr>
            </w:pPr>
            <w:r>
              <w:rPr>
                <w:rFonts w:ascii="仿宋" w:hAnsi="仿宋" w:eastAsia="仿宋"/>
                <w:kern w:val="0"/>
                <w:sz w:val="24"/>
              </w:rPr>
              <w:t>43</w:t>
            </w:r>
          </w:p>
        </w:tc>
        <w:tc>
          <w:tcPr>
            <w:tcW w:w="822" w:type="dxa"/>
            <w:vMerge w:val="restart"/>
            <w:tcBorders>
              <w:top w:val="nil"/>
              <w:left w:val="single" w:color="auto" w:sz="4" w:space="0"/>
              <w:right w:val="single" w:color="auto" w:sz="4" w:space="0"/>
            </w:tcBorders>
            <w:shd w:val="clear" w:color="auto" w:fill="auto"/>
            <w:vAlign w:val="center"/>
          </w:tcPr>
          <w:p w14:paraId="65FA596A">
            <w:pPr>
              <w:jc w:val="center"/>
              <w:rPr>
                <w:rFonts w:ascii="仿宋" w:hAnsi="仿宋" w:eastAsia="仿宋"/>
                <w:kern w:val="0"/>
                <w:sz w:val="24"/>
              </w:rPr>
            </w:pPr>
            <w:r>
              <w:rPr>
                <w:rFonts w:hint="eastAsia" w:ascii="仿宋" w:hAnsi="仿宋" w:eastAsia="仿宋" w:cs="宋体"/>
                <w:kern w:val="0"/>
                <w:sz w:val="24"/>
              </w:rPr>
              <w:t>Ⅰ</w:t>
            </w:r>
            <w:r>
              <w:rPr>
                <w:rFonts w:ascii="仿宋" w:hAnsi="仿宋" w:eastAsia="仿宋"/>
                <w:kern w:val="0"/>
                <w:sz w:val="24"/>
              </w:rPr>
              <w:t>类</w:t>
            </w:r>
          </w:p>
        </w:tc>
        <w:tc>
          <w:tcPr>
            <w:tcW w:w="1386" w:type="dxa"/>
            <w:tcBorders>
              <w:top w:val="nil"/>
              <w:left w:val="nil"/>
              <w:bottom w:val="single" w:color="auto" w:sz="4" w:space="0"/>
              <w:right w:val="single" w:color="auto" w:sz="4" w:space="0"/>
            </w:tcBorders>
            <w:shd w:val="clear" w:color="000000" w:fill="FFFFFF"/>
            <w:vAlign w:val="center"/>
          </w:tcPr>
          <w:p w14:paraId="64D2191A">
            <w:pPr>
              <w:widowControl/>
              <w:jc w:val="center"/>
              <w:rPr>
                <w:rFonts w:ascii="仿宋" w:hAnsi="仿宋" w:eastAsia="仿宋"/>
                <w:kern w:val="0"/>
                <w:sz w:val="24"/>
              </w:rPr>
            </w:pPr>
            <w:r>
              <w:rPr>
                <w:rFonts w:ascii="仿宋" w:hAnsi="仿宋" w:eastAsia="仿宋"/>
                <w:kern w:val="0"/>
                <w:sz w:val="24"/>
              </w:rPr>
              <w:t>M07600</w:t>
            </w:r>
          </w:p>
        </w:tc>
        <w:tc>
          <w:tcPr>
            <w:tcW w:w="3598" w:type="dxa"/>
            <w:tcBorders>
              <w:top w:val="nil"/>
              <w:left w:val="nil"/>
              <w:bottom w:val="single" w:color="auto" w:sz="4" w:space="0"/>
              <w:right w:val="single" w:color="auto" w:sz="4" w:space="0"/>
            </w:tcBorders>
            <w:shd w:val="clear" w:color="000000" w:fill="FFFFFF"/>
            <w:vAlign w:val="center"/>
          </w:tcPr>
          <w:p w14:paraId="1D52DCB5">
            <w:pPr>
              <w:widowControl/>
              <w:jc w:val="center"/>
              <w:rPr>
                <w:rFonts w:ascii="仿宋" w:hAnsi="仿宋" w:eastAsia="仿宋"/>
                <w:kern w:val="0"/>
                <w:sz w:val="24"/>
              </w:rPr>
            </w:pPr>
            <w:r>
              <w:rPr>
                <w:rFonts w:ascii="仿宋" w:hAnsi="仿宋" w:eastAsia="仿宋"/>
                <w:kern w:val="0"/>
                <w:sz w:val="24"/>
              </w:rPr>
              <w:t>慢性肾炎</w:t>
            </w:r>
          </w:p>
        </w:tc>
        <w:tc>
          <w:tcPr>
            <w:tcW w:w="1180" w:type="dxa"/>
            <w:tcBorders>
              <w:top w:val="nil"/>
              <w:left w:val="nil"/>
              <w:bottom w:val="single" w:color="auto" w:sz="4" w:space="0"/>
              <w:right w:val="single" w:color="auto" w:sz="4" w:space="0"/>
            </w:tcBorders>
            <w:vAlign w:val="center"/>
          </w:tcPr>
          <w:p w14:paraId="23FE240E">
            <w:pPr>
              <w:widowControl/>
              <w:jc w:val="center"/>
              <w:rPr>
                <w:rFonts w:ascii="仿宋" w:hAnsi="仿宋" w:eastAsia="仿宋"/>
                <w:kern w:val="0"/>
                <w:sz w:val="24"/>
              </w:rPr>
            </w:pPr>
            <w:r>
              <w:rPr>
                <w:rFonts w:ascii="仿宋" w:hAnsi="仿宋" w:eastAsia="仿宋"/>
                <w:kern w:val="0"/>
                <w:sz w:val="24"/>
              </w:rPr>
              <w:t>85</w:t>
            </w:r>
          </w:p>
        </w:tc>
        <w:tc>
          <w:tcPr>
            <w:tcW w:w="1394" w:type="dxa"/>
            <w:tcBorders>
              <w:top w:val="nil"/>
              <w:left w:val="nil"/>
              <w:bottom w:val="single" w:color="auto" w:sz="4" w:space="0"/>
              <w:right w:val="single" w:color="auto" w:sz="4" w:space="0"/>
            </w:tcBorders>
            <w:vAlign w:val="center"/>
          </w:tcPr>
          <w:p w14:paraId="51F31887">
            <w:pPr>
              <w:widowControl/>
              <w:jc w:val="center"/>
              <w:rPr>
                <w:rFonts w:ascii="仿宋" w:hAnsi="仿宋" w:eastAsia="仿宋" w:cs="宋体"/>
                <w:kern w:val="0"/>
                <w:sz w:val="24"/>
              </w:rPr>
            </w:pPr>
            <w:r>
              <w:rPr>
                <w:rFonts w:hint="eastAsia" w:ascii="仿宋" w:hAnsi="仿宋" w:eastAsia="仿宋" w:cs="宋体"/>
                <w:kern w:val="0"/>
                <w:sz w:val="24"/>
              </w:rPr>
              <w:t>6000</w:t>
            </w:r>
          </w:p>
        </w:tc>
        <w:tc>
          <w:tcPr>
            <w:tcW w:w="1174" w:type="dxa"/>
            <w:tcBorders>
              <w:top w:val="nil"/>
              <w:left w:val="nil"/>
              <w:bottom w:val="single" w:color="auto" w:sz="4" w:space="0"/>
              <w:right w:val="single" w:color="auto" w:sz="4" w:space="0"/>
            </w:tcBorders>
            <w:vAlign w:val="center"/>
          </w:tcPr>
          <w:p w14:paraId="20BDF9EC">
            <w:pPr>
              <w:widowControl/>
              <w:jc w:val="center"/>
              <w:rPr>
                <w:rFonts w:ascii="仿宋" w:hAnsi="仿宋" w:eastAsia="仿宋" w:cs="宋体"/>
                <w:kern w:val="0"/>
                <w:sz w:val="24"/>
              </w:rPr>
            </w:pPr>
            <w:r>
              <w:rPr>
                <w:rFonts w:hint="eastAsia" w:ascii="仿宋" w:hAnsi="仿宋" w:eastAsia="仿宋" w:cs="宋体"/>
                <w:kern w:val="0"/>
                <w:sz w:val="24"/>
              </w:rPr>
              <w:t>70</w:t>
            </w:r>
          </w:p>
        </w:tc>
        <w:tc>
          <w:tcPr>
            <w:tcW w:w="1560" w:type="dxa"/>
            <w:tcBorders>
              <w:top w:val="nil"/>
              <w:left w:val="nil"/>
              <w:bottom w:val="single" w:color="auto" w:sz="4" w:space="0"/>
              <w:right w:val="single" w:color="auto" w:sz="4" w:space="0"/>
            </w:tcBorders>
            <w:vAlign w:val="center"/>
          </w:tcPr>
          <w:p w14:paraId="5ED6EB1E">
            <w:pPr>
              <w:widowControl/>
              <w:jc w:val="center"/>
              <w:rPr>
                <w:rFonts w:ascii="仿宋" w:hAnsi="仿宋" w:eastAsia="仿宋" w:cs="宋体"/>
                <w:kern w:val="0"/>
                <w:sz w:val="24"/>
              </w:rPr>
            </w:pPr>
            <w:r>
              <w:rPr>
                <w:rFonts w:hint="eastAsia" w:ascii="仿宋" w:hAnsi="仿宋" w:eastAsia="仿宋" w:cs="宋体"/>
                <w:kern w:val="0"/>
                <w:sz w:val="24"/>
              </w:rPr>
              <w:t>5000</w:t>
            </w:r>
          </w:p>
        </w:tc>
        <w:tc>
          <w:tcPr>
            <w:tcW w:w="1487" w:type="dxa"/>
            <w:tcBorders>
              <w:top w:val="nil"/>
              <w:left w:val="nil"/>
              <w:bottom w:val="single" w:color="auto" w:sz="4" w:space="0"/>
              <w:right w:val="single" w:color="auto" w:sz="4" w:space="0"/>
            </w:tcBorders>
            <w:vAlign w:val="center"/>
          </w:tcPr>
          <w:p w14:paraId="3E37275C">
            <w:pPr>
              <w:widowControl/>
              <w:jc w:val="center"/>
              <w:rPr>
                <w:rFonts w:ascii="仿宋" w:hAnsi="仿宋" w:eastAsia="仿宋" w:cs="宋体"/>
                <w:kern w:val="0"/>
                <w:sz w:val="24"/>
              </w:rPr>
            </w:pPr>
            <w:r>
              <w:rPr>
                <w:rFonts w:hint="eastAsia" w:ascii="仿宋" w:hAnsi="仿宋" w:eastAsia="仿宋" w:cs="宋体"/>
                <w:kern w:val="0"/>
                <w:sz w:val="24"/>
              </w:rPr>
              <w:t>3年</w:t>
            </w:r>
          </w:p>
        </w:tc>
      </w:tr>
      <w:tr w14:paraId="711035E0">
        <w:tblPrEx>
          <w:tblCellMar>
            <w:top w:w="0" w:type="dxa"/>
            <w:left w:w="0" w:type="dxa"/>
            <w:bottom w:w="0" w:type="dxa"/>
            <w:right w:w="0" w:type="dxa"/>
          </w:tblCellMar>
        </w:tblPrEx>
        <w:trPr>
          <w:trHeight w:val="457" w:hRule="atLeast"/>
          <w:jc w:val="right"/>
        </w:trPr>
        <w:tc>
          <w:tcPr>
            <w:tcW w:w="755" w:type="dxa"/>
            <w:tcBorders>
              <w:top w:val="nil"/>
              <w:left w:val="single" w:color="auto" w:sz="4" w:space="0"/>
              <w:bottom w:val="single" w:color="auto" w:sz="4" w:space="0"/>
              <w:right w:val="single" w:color="auto" w:sz="4" w:space="0"/>
            </w:tcBorders>
            <w:shd w:val="clear" w:color="auto" w:fill="auto"/>
            <w:vAlign w:val="center"/>
          </w:tcPr>
          <w:p w14:paraId="1399D9F0">
            <w:pPr>
              <w:widowControl/>
              <w:jc w:val="center"/>
              <w:rPr>
                <w:rFonts w:ascii="仿宋" w:hAnsi="仿宋" w:eastAsia="仿宋"/>
                <w:kern w:val="0"/>
                <w:sz w:val="24"/>
              </w:rPr>
            </w:pPr>
            <w:r>
              <w:rPr>
                <w:rFonts w:ascii="仿宋" w:hAnsi="仿宋" w:eastAsia="仿宋"/>
                <w:kern w:val="0"/>
                <w:sz w:val="24"/>
              </w:rPr>
              <w:t>44</w:t>
            </w:r>
          </w:p>
        </w:tc>
        <w:tc>
          <w:tcPr>
            <w:tcW w:w="822" w:type="dxa"/>
            <w:vMerge w:val="continue"/>
            <w:tcBorders>
              <w:left w:val="single" w:color="auto" w:sz="4" w:space="0"/>
              <w:right w:val="single" w:color="auto" w:sz="4" w:space="0"/>
            </w:tcBorders>
            <w:shd w:val="clear" w:color="auto" w:fill="auto"/>
            <w:vAlign w:val="center"/>
          </w:tcPr>
          <w:p w14:paraId="6279BB2C">
            <w:pPr>
              <w:widowControl/>
              <w:jc w:val="left"/>
              <w:rPr>
                <w:rFonts w:ascii="仿宋" w:hAnsi="仿宋" w:eastAsia="仿宋"/>
                <w:kern w:val="0"/>
                <w:sz w:val="24"/>
              </w:rPr>
            </w:pPr>
          </w:p>
        </w:tc>
        <w:tc>
          <w:tcPr>
            <w:tcW w:w="1386" w:type="dxa"/>
            <w:tcBorders>
              <w:top w:val="nil"/>
              <w:left w:val="nil"/>
              <w:bottom w:val="single" w:color="auto" w:sz="4" w:space="0"/>
              <w:right w:val="single" w:color="auto" w:sz="4" w:space="0"/>
            </w:tcBorders>
            <w:shd w:val="clear" w:color="000000" w:fill="FFFFFF"/>
            <w:vAlign w:val="center"/>
          </w:tcPr>
          <w:p w14:paraId="43C61E13">
            <w:pPr>
              <w:widowControl/>
              <w:jc w:val="center"/>
              <w:rPr>
                <w:rFonts w:ascii="仿宋" w:hAnsi="仿宋" w:eastAsia="仿宋"/>
                <w:kern w:val="0"/>
                <w:sz w:val="24"/>
              </w:rPr>
            </w:pPr>
            <w:r>
              <w:rPr>
                <w:rFonts w:ascii="仿宋" w:hAnsi="仿宋" w:eastAsia="仿宋"/>
                <w:kern w:val="0"/>
                <w:sz w:val="24"/>
              </w:rPr>
              <w:t>M07700</w:t>
            </w:r>
          </w:p>
        </w:tc>
        <w:tc>
          <w:tcPr>
            <w:tcW w:w="3598" w:type="dxa"/>
            <w:tcBorders>
              <w:top w:val="nil"/>
              <w:left w:val="nil"/>
              <w:bottom w:val="single" w:color="auto" w:sz="4" w:space="0"/>
              <w:right w:val="single" w:color="auto" w:sz="4" w:space="0"/>
            </w:tcBorders>
            <w:shd w:val="clear" w:color="000000" w:fill="FFFFFF"/>
            <w:vAlign w:val="center"/>
          </w:tcPr>
          <w:p w14:paraId="1375CA76">
            <w:pPr>
              <w:widowControl/>
              <w:jc w:val="center"/>
              <w:rPr>
                <w:rFonts w:ascii="仿宋" w:hAnsi="仿宋" w:eastAsia="仿宋"/>
                <w:kern w:val="0"/>
                <w:sz w:val="24"/>
              </w:rPr>
            </w:pPr>
            <w:r>
              <w:rPr>
                <w:rFonts w:ascii="仿宋" w:hAnsi="仿宋" w:eastAsia="仿宋"/>
                <w:kern w:val="0"/>
                <w:sz w:val="24"/>
              </w:rPr>
              <w:t>肾病综合征</w:t>
            </w:r>
          </w:p>
        </w:tc>
        <w:tc>
          <w:tcPr>
            <w:tcW w:w="1180" w:type="dxa"/>
            <w:tcBorders>
              <w:top w:val="nil"/>
              <w:left w:val="nil"/>
              <w:bottom w:val="single" w:color="auto" w:sz="4" w:space="0"/>
              <w:right w:val="single" w:color="auto" w:sz="4" w:space="0"/>
            </w:tcBorders>
            <w:vAlign w:val="center"/>
          </w:tcPr>
          <w:p w14:paraId="4B55917F">
            <w:pPr>
              <w:widowControl/>
              <w:jc w:val="center"/>
              <w:rPr>
                <w:rFonts w:ascii="仿宋" w:hAnsi="仿宋" w:eastAsia="仿宋"/>
                <w:kern w:val="0"/>
                <w:sz w:val="24"/>
              </w:rPr>
            </w:pPr>
            <w:r>
              <w:rPr>
                <w:rFonts w:ascii="仿宋" w:hAnsi="仿宋" w:eastAsia="仿宋"/>
                <w:kern w:val="0"/>
                <w:sz w:val="24"/>
              </w:rPr>
              <w:t>85</w:t>
            </w:r>
          </w:p>
        </w:tc>
        <w:tc>
          <w:tcPr>
            <w:tcW w:w="1394" w:type="dxa"/>
            <w:tcBorders>
              <w:top w:val="nil"/>
              <w:left w:val="nil"/>
              <w:bottom w:val="single" w:color="auto" w:sz="4" w:space="0"/>
              <w:right w:val="single" w:color="auto" w:sz="4" w:space="0"/>
            </w:tcBorders>
            <w:vAlign w:val="center"/>
          </w:tcPr>
          <w:p w14:paraId="25878E57">
            <w:pPr>
              <w:widowControl/>
              <w:jc w:val="center"/>
              <w:rPr>
                <w:rFonts w:ascii="仿宋" w:hAnsi="仿宋" w:eastAsia="仿宋" w:cs="宋体"/>
                <w:kern w:val="0"/>
                <w:sz w:val="24"/>
              </w:rPr>
            </w:pPr>
            <w:r>
              <w:rPr>
                <w:rFonts w:hint="eastAsia" w:ascii="仿宋" w:hAnsi="仿宋" w:eastAsia="仿宋" w:cs="宋体"/>
                <w:kern w:val="0"/>
                <w:sz w:val="24"/>
              </w:rPr>
              <w:t>10000</w:t>
            </w:r>
          </w:p>
        </w:tc>
        <w:tc>
          <w:tcPr>
            <w:tcW w:w="1174" w:type="dxa"/>
            <w:tcBorders>
              <w:top w:val="nil"/>
              <w:left w:val="nil"/>
              <w:bottom w:val="single" w:color="auto" w:sz="4" w:space="0"/>
              <w:right w:val="single" w:color="auto" w:sz="4" w:space="0"/>
            </w:tcBorders>
            <w:vAlign w:val="center"/>
          </w:tcPr>
          <w:p w14:paraId="2D888F11">
            <w:pPr>
              <w:widowControl/>
              <w:jc w:val="center"/>
              <w:rPr>
                <w:rFonts w:ascii="仿宋" w:hAnsi="仿宋" w:eastAsia="仿宋" w:cs="宋体"/>
                <w:kern w:val="0"/>
                <w:sz w:val="24"/>
              </w:rPr>
            </w:pPr>
            <w:r>
              <w:rPr>
                <w:rFonts w:hint="eastAsia" w:ascii="仿宋" w:hAnsi="仿宋" w:eastAsia="仿宋" w:cs="宋体"/>
                <w:kern w:val="0"/>
                <w:sz w:val="24"/>
              </w:rPr>
              <w:t>70</w:t>
            </w:r>
          </w:p>
        </w:tc>
        <w:tc>
          <w:tcPr>
            <w:tcW w:w="1560" w:type="dxa"/>
            <w:tcBorders>
              <w:top w:val="nil"/>
              <w:left w:val="nil"/>
              <w:bottom w:val="single" w:color="auto" w:sz="4" w:space="0"/>
              <w:right w:val="single" w:color="auto" w:sz="4" w:space="0"/>
            </w:tcBorders>
            <w:vAlign w:val="center"/>
          </w:tcPr>
          <w:p w14:paraId="1AB1CF60">
            <w:pPr>
              <w:widowControl/>
              <w:jc w:val="center"/>
              <w:rPr>
                <w:rFonts w:ascii="仿宋" w:hAnsi="仿宋" w:eastAsia="仿宋" w:cs="宋体"/>
                <w:kern w:val="0"/>
                <w:sz w:val="24"/>
              </w:rPr>
            </w:pPr>
            <w:r>
              <w:rPr>
                <w:rFonts w:hint="eastAsia" w:ascii="仿宋" w:hAnsi="仿宋" w:eastAsia="仿宋" w:cs="宋体"/>
                <w:kern w:val="0"/>
                <w:sz w:val="24"/>
              </w:rPr>
              <w:t>10000</w:t>
            </w:r>
          </w:p>
        </w:tc>
        <w:tc>
          <w:tcPr>
            <w:tcW w:w="1487" w:type="dxa"/>
            <w:tcBorders>
              <w:top w:val="nil"/>
              <w:left w:val="nil"/>
              <w:bottom w:val="single" w:color="auto" w:sz="4" w:space="0"/>
              <w:right w:val="single" w:color="auto" w:sz="4" w:space="0"/>
            </w:tcBorders>
            <w:vAlign w:val="center"/>
          </w:tcPr>
          <w:p w14:paraId="7C5707EA">
            <w:pPr>
              <w:widowControl/>
              <w:jc w:val="center"/>
              <w:rPr>
                <w:rFonts w:ascii="仿宋" w:hAnsi="仿宋" w:eastAsia="仿宋" w:cs="宋体"/>
                <w:kern w:val="0"/>
                <w:sz w:val="24"/>
              </w:rPr>
            </w:pPr>
            <w:r>
              <w:rPr>
                <w:rFonts w:hint="eastAsia" w:ascii="仿宋" w:hAnsi="仿宋" w:eastAsia="仿宋" w:cs="宋体"/>
                <w:kern w:val="0"/>
                <w:sz w:val="24"/>
              </w:rPr>
              <w:t>3年</w:t>
            </w:r>
          </w:p>
        </w:tc>
      </w:tr>
      <w:tr w14:paraId="26980090">
        <w:tblPrEx>
          <w:tblCellMar>
            <w:top w:w="0" w:type="dxa"/>
            <w:left w:w="0" w:type="dxa"/>
            <w:bottom w:w="0" w:type="dxa"/>
            <w:right w:w="0" w:type="dxa"/>
          </w:tblCellMar>
        </w:tblPrEx>
        <w:trPr>
          <w:trHeight w:val="501" w:hRule="atLeast"/>
          <w:jc w:val="right"/>
        </w:trPr>
        <w:tc>
          <w:tcPr>
            <w:tcW w:w="755" w:type="dxa"/>
            <w:tcBorders>
              <w:top w:val="nil"/>
              <w:left w:val="single" w:color="auto" w:sz="4" w:space="0"/>
              <w:bottom w:val="single" w:color="auto" w:sz="4" w:space="0"/>
              <w:right w:val="single" w:color="auto" w:sz="4" w:space="0"/>
            </w:tcBorders>
            <w:shd w:val="clear" w:color="auto" w:fill="auto"/>
            <w:vAlign w:val="center"/>
          </w:tcPr>
          <w:p w14:paraId="0F107AC4">
            <w:pPr>
              <w:widowControl/>
              <w:jc w:val="center"/>
              <w:rPr>
                <w:rFonts w:ascii="仿宋" w:hAnsi="仿宋" w:eastAsia="仿宋"/>
                <w:kern w:val="0"/>
                <w:sz w:val="24"/>
              </w:rPr>
            </w:pPr>
            <w:r>
              <w:rPr>
                <w:rFonts w:ascii="仿宋" w:hAnsi="仿宋" w:eastAsia="仿宋"/>
                <w:kern w:val="0"/>
                <w:sz w:val="24"/>
              </w:rPr>
              <w:t>45</w:t>
            </w:r>
          </w:p>
        </w:tc>
        <w:tc>
          <w:tcPr>
            <w:tcW w:w="822" w:type="dxa"/>
            <w:vMerge w:val="continue"/>
            <w:tcBorders>
              <w:left w:val="single" w:color="auto" w:sz="4" w:space="0"/>
              <w:right w:val="single" w:color="auto" w:sz="4" w:space="0"/>
            </w:tcBorders>
            <w:shd w:val="clear" w:color="auto" w:fill="auto"/>
            <w:vAlign w:val="center"/>
          </w:tcPr>
          <w:p w14:paraId="715A5945">
            <w:pPr>
              <w:widowControl/>
              <w:jc w:val="left"/>
              <w:rPr>
                <w:rFonts w:ascii="仿宋" w:hAnsi="仿宋" w:eastAsia="仿宋"/>
                <w:kern w:val="0"/>
                <w:sz w:val="24"/>
              </w:rPr>
            </w:pPr>
          </w:p>
        </w:tc>
        <w:tc>
          <w:tcPr>
            <w:tcW w:w="1386" w:type="dxa"/>
            <w:tcBorders>
              <w:top w:val="nil"/>
              <w:left w:val="nil"/>
              <w:bottom w:val="single" w:color="auto" w:sz="4" w:space="0"/>
              <w:right w:val="single" w:color="auto" w:sz="4" w:space="0"/>
            </w:tcBorders>
            <w:shd w:val="clear" w:color="000000" w:fill="FFFFFF"/>
            <w:vAlign w:val="center"/>
          </w:tcPr>
          <w:p w14:paraId="780408DA">
            <w:pPr>
              <w:widowControl/>
              <w:jc w:val="center"/>
              <w:rPr>
                <w:rFonts w:ascii="仿宋" w:hAnsi="仿宋" w:eastAsia="仿宋"/>
                <w:kern w:val="0"/>
                <w:sz w:val="24"/>
              </w:rPr>
            </w:pPr>
            <w:r>
              <w:rPr>
                <w:rFonts w:ascii="仿宋" w:hAnsi="仿宋" w:eastAsia="仿宋"/>
                <w:kern w:val="0"/>
                <w:sz w:val="24"/>
              </w:rPr>
              <w:t>M07401</w:t>
            </w:r>
          </w:p>
        </w:tc>
        <w:tc>
          <w:tcPr>
            <w:tcW w:w="3598" w:type="dxa"/>
            <w:tcBorders>
              <w:top w:val="nil"/>
              <w:left w:val="nil"/>
              <w:bottom w:val="single" w:color="auto" w:sz="4" w:space="0"/>
              <w:right w:val="single" w:color="auto" w:sz="4" w:space="0"/>
            </w:tcBorders>
            <w:shd w:val="clear" w:color="000000" w:fill="FFFFFF"/>
            <w:vAlign w:val="center"/>
          </w:tcPr>
          <w:p w14:paraId="224FB839">
            <w:pPr>
              <w:widowControl/>
              <w:jc w:val="center"/>
              <w:rPr>
                <w:rFonts w:ascii="仿宋" w:hAnsi="仿宋" w:eastAsia="仿宋"/>
                <w:kern w:val="0"/>
                <w:sz w:val="24"/>
              </w:rPr>
            </w:pPr>
            <w:r>
              <w:rPr>
                <w:rFonts w:ascii="仿宋" w:hAnsi="仿宋" w:eastAsia="仿宋"/>
                <w:kern w:val="0"/>
                <w:sz w:val="24"/>
              </w:rPr>
              <w:t>股骨骨坏死</w:t>
            </w:r>
          </w:p>
        </w:tc>
        <w:tc>
          <w:tcPr>
            <w:tcW w:w="1180" w:type="dxa"/>
            <w:tcBorders>
              <w:top w:val="nil"/>
              <w:left w:val="nil"/>
              <w:bottom w:val="single" w:color="auto" w:sz="4" w:space="0"/>
              <w:right w:val="single" w:color="auto" w:sz="4" w:space="0"/>
            </w:tcBorders>
            <w:vAlign w:val="center"/>
          </w:tcPr>
          <w:p w14:paraId="75D81B44">
            <w:pPr>
              <w:widowControl/>
              <w:jc w:val="center"/>
              <w:rPr>
                <w:rFonts w:ascii="仿宋" w:hAnsi="仿宋" w:eastAsia="仿宋"/>
                <w:kern w:val="0"/>
                <w:sz w:val="24"/>
              </w:rPr>
            </w:pPr>
            <w:r>
              <w:rPr>
                <w:rFonts w:ascii="仿宋" w:hAnsi="仿宋" w:eastAsia="仿宋"/>
                <w:kern w:val="0"/>
                <w:sz w:val="24"/>
              </w:rPr>
              <w:t>85</w:t>
            </w:r>
          </w:p>
        </w:tc>
        <w:tc>
          <w:tcPr>
            <w:tcW w:w="1394" w:type="dxa"/>
            <w:tcBorders>
              <w:top w:val="nil"/>
              <w:left w:val="nil"/>
              <w:bottom w:val="single" w:color="auto" w:sz="4" w:space="0"/>
              <w:right w:val="single" w:color="auto" w:sz="4" w:space="0"/>
            </w:tcBorders>
            <w:vAlign w:val="center"/>
          </w:tcPr>
          <w:p w14:paraId="29F4565F">
            <w:pPr>
              <w:widowControl/>
              <w:jc w:val="center"/>
              <w:rPr>
                <w:rFonts w:ascii="仿宋" w:hAnsi="仿宋" w:eastAsia="仿宋" w:cs="宋体"/>
                <w:kern w:val="0"/>
                <w:sz w:val="24"/>
              </w:rPr>
            </w:pPr>
            <w:r>
              <w:rPr>
                <w:rFonts w:hint="eastAsia" w:ascii="仿宋" w:hAnsi="仿宋" w:eastAsia="仿宋" w:cs="宋体"/>
                <w:kern w:val="0"/>
                <w:sz w:val="24"/>
              </w:rPr>
              <w:t>6000</w:t>
            </w:r>
          </w:p>
        </w:tc>
        <w:tc>
          <w:tcPr>
            <w:tcW w:w="1174" w:type="dxa"/>
            <w:tcBorders>
              <w:top w:val="nil"/>
              <w:left w:val="nil"/>
              <w:bottom w:val="single" w:color="auto" w:sz="4" w:space="0"/>
              <w:right w:val="single" w:color="auto" w:sz="4" w:space="0"/>
            </w:tcBorders>
            <w:vAlign w:val="center"/>
          </w:tcPr>
          <w:p w14:paraId="3D8C01E1">
            <w:pPr>
              <w:widowControl/>
              <w:jc w:val="center"/>
              <w:rPr>
                <w:rFonts w:ascii="仿宋" w:hAnsi="仿宋" w:eastAsia="仿宋" w:cs="宋体"/>
                <w:kern w:val="0"/>
                <w:sz w:val="24"/>
              </w:rPr>
            </w:pPr>
            <w:r>
              <w:rPr>
                <w:rFonts w:hint="eastAsia" w:ascii="仿宋" w:hAnsi="仿宋" w:eastAsia="仿宋" w:cs="宋体"/>
                <w:kern w:val="0"/>
                <w:sz w:val="24"/>
              </w:rPr>
              <w:t>70</w:t>
            </w:r>
          </w:p>
        </w:tc>
        <w:tc>
          <w:tcPr>
            <w:tcW w:w="1560" w:type="dxa"/>
            <w:tcBorders>
              <w:top w:val="nil"/>
              <w:left w:val="nil"/>
              <w:bottom w:val="single" w:color="auto" w:sz="4" w:space="0"/>
              <w:right w:val="single" w:color="auto" w:sz="4" w:space="0"/>
            </w:tcBorders>
            <w:vAlign w:val="center"/>
          </w:tcPr>
          <w:p w14:paraId="60A2A3A4">
            <w:pPr>
              <w:widowControl/>
              <w:jc w:val="center"/>
              <w:rPr>
                <w:rFonts w:ascii="仿宋" w:hAnsi="仿宋" w:eastAsia="仿宋" w:cs="宋体"/>
                <w:kern w:val="0"/>
                <w:sz w:val="24"/>
              </w:rPr>
            </w:pPr>
            <w:r>
              <w:rPr>
                <w:rFonts w:hint="eastAsia" w:ascii="仿宋" w:hAnsi="仿宋" w:eastAsia="仿宋" w:cs="宋体"/>
                <w:kern w:val="0"/>
                <w:sz w:val="24"/>
              </w:rPr>
              <w:t>5000</w:t>
            </w:r>
          </w:p>
        </w:tc>
        <w:tc>
          <w:tcPr>
            <w:tcW w:w="1487" w:type="dxa"/>
            <w:tcBorders>
              <w:top w:val="nil"/>
              <w:left w:val="nil"/>
              <w:bottom w:val="single" w:color="auto" w:sz="4" w:space="0"/>
              <w:right w:val="single" w:color="auto" w:sz="4" w:space="0"/>
            </w:tcBorders>
            <w:vAlign w:val="center"/>
          </w:tcPr>
          <w:p w14:paraId="091BC261">
            <w:pPr>
              <w:widowControl/>
              <w:spacing w:line="240" w:lineRule="exact"/>
              <w:jc w:val="center"/>
              <w:rPr>
                <w:rFonts w:ascii="仿宋" w:hAnsi="仿宋" w:eastAsia="仿宋" w:cs="宋体"/>
                <w:kern w:val="0"/>
                <w:sz w:val="24"/>
              </w:rPr>
            </w:pPr>
            <w:r>
              <w:rPr>
                <w:rFonts w:hint="eastAsia" w:ascii="仿宋" w:hAnsi="仿宋" w:eastAsia="仿宋" w:cs="宋体"/>
                <w:kern w:val="0"/>
                <w:sz w:val="24"/>
              </w:rPr>
              <w:t>2年</w:t>
            </w:r>
            <w:r>
              <w:rPr>
                <w:rFonts w:hint="eastAsia" w:ascii="仿宋" w:hAnsi="仿宋" w:eastAsia="仿宋" w:cs="宋体"/>
                <w:kern w:val="0"/>
                <w:sz w:val="18"/>
                <w:szCs w:val="18"/>
              </w:rPr>
              <w:t>（患侧行髋关节置换术后，复审时不再认定为门诊慢特病。）</w:t>
            </w:r>
          </w:p>
        </w:tc>
      </w:tr>
      <w:tr w14:paraId="16298806">
        <w:tblPrEx>
          <w:tblCellMar>
            <w:top w:w="0" w:type="dxa"/>
            <w:left w:w="0" w:type="dxa"/>
            <w:bottom w:w="0" w:type="dxa"/>
            <w:right w:w="0" w:type="dxa"/>
          </w:tblCellMar>
        </w:tblPrEx>
        <w:trPr>
          <w:trHeight w:val="468" w:hRule="atLeast"/>
          <w:jc w:val="right"/>
        </w:trPr>
        <w:tc>
          <w:tcPr>
            <w:tcW w:w="755" w:type="dxa"/>
            <w:tcBorders>
              <w:top w:val="nil"/>
              <w:left w:val="single" w:color="auto" w:sz="4" w:space="0"/>
              <w:bottom w:val="single" w:color="auto" w:sz="4" w:space="0"/>
              <w:right w:val="single" w:color="auto" w:sz="4" w:space="0"/>
            </w:tcBorders>
            <w:shd w:val="clear" w:color="auto" w:fill="auto"/>
            <w:vAlign w:val="center"/>
          </w:tcPr>
          <w:p w14:paraId="1DD07124">
            <w:pPr>
              <w:widowControl/>
              <w:jc w:val="center"/>
              <w:rPr>
                <w:rFonts w:ascii="仿宋" w:hAnsi="仿宋" w:eastAsia="仿宋"/>
                <w:kern w:val="0"/>
                <w:sz w:val="24"/>
              </w:rPr>
            </w:pPr>
            <w:r>
              <w:rPr>
                <w:rFonts w:ascii="仿宋" w:hAnsi="仿宋" w:eastAsia="仿宋"/>
                <w:kern w:val="0"/>
                <w:sz w:val="24"/>
              </w:rPr>
              <w:t>46</w:t>
            </w:r>
          </w:p>
        </w:tc>
        <w:tc>
          <w:tcPr>
            <w:tcW w:w="822" w:type="dxa"/>
            <w:vMerge w:val="continue"/>
            <w:tcBorders>
              <w:left w:val="single" w:color="auto" w:sz="4" w:space="0"/>
              <w:right w:val="single" w:color="auto" w:sz="4" w:space="0"/>
            </w:tcBorders>
            <w:shd w:val="clear" w:color="auto" w:fill="auto"/>
            <w:vAlign w:val="center"/>
          </w:tcPr>
          <w:p w14:paraId="257D6C22">
            <w:pPr>
              <w:widowControl/>
              <w:jc w:val="left"/>
              <w:rPr>
                <w:rFonts w:ascii="仿宋" w:hAnsi="仿宋" w:eastAsia="仿宋"/>
                <w:kern w:val="0"/>
                <w:sz w:val="24"/>
              </w:rPr>
            </w:pPr>
          </w:p>
        </w:tc>
        <w:tc>
          <w:tcPr>
            <w:tcW w:w="1386" w:type="dxa"/>
            <w:tcBorders>
              <w:top w:val="nil"/>
              <w:left w:val="nil"/>
              <w:bottom w:val="single" w:color="auto" w:sz="4" w:space="0"/>
              <w:right w:val="single" w:color="auto" w:sz="4" w:space="0"/>
            </w:tcBorders>
            <w:shd w:val="clear" w:color="000000" w:fill="FFFFFF"/>
            <w:vAlign w:val="center"/>
          </w:tcPr>
          <w:p w14:paraId="4C691BF4">
            <w:pPr>
              <w:widowControl/>
              <w:jc w:val="center"/>
              <w:rPr>
                <w:rFonts w:ascii="仿宋" w:hAnsi="仿宋" w:eastAsia="仿宋"/>
                <w:kern w:val="0"/>
                <w:sz w:val="24"/>
              </w:rPr>
            </w:pPr>
            <w:r>
              <w:rPr>
                <w:rFonts w:ascii="仿宋" w:hAnsi="仿宋" w:eastAsia="仿宋"/>
                <w:kern w:val="0"/>
                <w:sz w:val="24"/>
              </w:rPr>
              <w:t>M08800</w:t>
            </w:r>
          </w:p>
        </w:tc>
        <w:tc>
          <w:tcPr>
            <w:tcW w:w="3598" w:type="dxa"/>
            <w:tcBorders>
              <w:top w:val="nil"/>
              <w:left w:val="nil"/>
              <w:bottom w:val="single" w:color="auto" w:sz="4" w:space="0"/>
              <w:right w:val="single" w:color="auto" w:sz="4" w:space="0"/>
            </w:tcBorders>
            <w:shd w:val="clear" w:color="000000" w:fill="FFFFFF"/>
            <w:vAlign w:val="center"/>
          </w:tcPr>
          <w:p w14:paraId="65720B9B">
            <w:pPr>
              <w:widowControl/>
              <w:jc w:val="center"/>
              <w:rPr>
                <w:rFonts w:ascii="仿宋" w:hAnsi="仿宋" w:eastAsia="仿宋"/>
                <w:kern w:val="0"/>
                <w:sz w:val="24"/>
              </w:rPr>
            </w:pPr>
            <w:r>
              <w:rPr>
                <w:rFonts w:ascii="仿宋" w:hAnsi="仿宋" w:eastAsia="仿宋"/>
                <w:kern w:val="0"/>
                <w:sz w:val="24"/>
              </w:rPr>
              <w:t>大骨节病</w:t>
            </w:r>
          </w:p>
        </w:tc>
        <w:tc>
          <w:tcPr>
            <w:tcW w:w="1180" w:type="dxa"/>
            <w:tcBorders>
              <w:top w:val="nil"/>
              <w:left w:val="nil"/>
              <w:bottom w:val="single" w:color="auto" w:sz="4" w:space="0"/>
              <w:right w:val="single" w:color="auto" w:sz="4" w:space="0"/>
            </w:tcBorders>
            <w:vAlign w:val="center"/>
          </w:tcPr>
          <w:p w14:paraId="46FE6AE2">
            <w:pPr>
              <w:widowControl/>
              <w:jc w:val="center"/>
              <w:rPr>
                <w:rFonts w:ascii="仿宋" w:hAnsi="仿宋" w:eastAsia="仿宋"/>
                <w:kern w:val="0"/>
                <w:sz w:val="24"/>
              </w:rPr>
            </w:pPr>
            <w:r>
              <w:rPr>
                <w:rFonts w:ascii="仿宋" w:hAnsi="仿宋" w:eastAsia="仿宋"/>
                <w:kern w:val="0"/>
                <w:sz w:val="24"/>
              </w:rPr>
              <w:t>85</w:t>
            </w:r>
          </w:p>
        </w:tc>
        <w:tc>
          <w:tcPr>
            <w:tcW w:w="1394" w:type="dxa"/>
            <w:tcBorders>
              <w:top w:val="nil"/>
              <w:left w:val="nil"/>
              <w:bottom w:val="single" w:color="auto" w:sz="4" w:space="0"/>
              <w:right w:val="single" w:color="auto" w:sz="4" w:space="0"/>
            </w:tcBorders>
            <w:vAlign w:val="center"/>
          </w:tcPr>
          <w:p w14:paraId="7564079C">
            <w:pPr>
              <w:widowControl/>
              <w:jc w:val="center"/>
              <w:rPr>
                <w:rFonts w:ascii="仿宋" w:hAnsi="仿宋" w:eastAsia="仿宋" w:cs="宋体"/>
                <w:kern w:val="0"/>
                <w:sz w:val="24"/>
              </w:rPr>
            </w:pPr>
            <w:r>
              <w:rPr>
                <w:rFonts w:hint="eastAsia" w:ascii="仿宋" w:hAnsi="仿宋" w:eastAsia="仿宋" w:cs="宋体"/>
                <w:kern w:val="0"/>
                <w:sz w:val="24"/>
              </w:rPr>
              <w:t>2000</w:t>
            </w:r>
          </w:p>
        </w:tc>
        <w:tc>
          <w:tcPr>
            <w:tcW w:w="1174" w:type="dxa"/>
            <w:tcBorders>
              <w:top w:val="nil"/>
              <w:left w:val="nil"/>
              <w:bottom w:val="single" w:color="auto" w:sz="4" w:space="0"/>
              <w:right w:val="single" w:color="auto" w:sz="4" w:space="0"/>
            </w:tcBorders>
            <w:vAlign w:val="center"/>
          </w:tcPr>
          <w:p w14:paraId="7B43B2F9">
            <w:pPr>
              <w:widowControl/>
              <w:jc w:val="center"/>
              <w:rPr>
                <w:rFonts w:ascii="仿宋" w:hAnsi="仿宋" w:eastAsia="仿宋" w:cs="宋体"/>
                <w:kern w:val="0"/>
                <w:sz w:val="24"/>
              </w:rPr>
            </w:pPr>
            <w:r>
              <w:rPr>
                <w:rFonts w:hint="eastAsia" w:ascii="仿宋" w:hAnsi="仿宋" w:eastAsia="仿宋" w:cs="宋体"/>
                <w:kern w:val="0"/>
                <w:sz w:val="24"/>
              </w:rPr>
              <w:t>70</w:t>
            </w:r>
          </w:p>
        </w:tc>
        <w:tc>
          <w:tcPr>
            <w:tcW w:w="1560" w:type="dxa"/>
            <w:tcBorders>
              <w:top w:val="nil"/>
              <w:left w:val="nil"/>
              <w:bottom w:val="single" w:color="auto" w:sz="4" w:space="0"/>
              <w:right w:val="single" w:color="auto" w:sz="4" w:space="0"/>
            </w:tcBorders>
            <w:vAlign w:val="center"/>
          </w:tcPr>
          <w:p w14:paraId="34CDB761">
            <w:pPr>
              <w:widowControl/>
              <w:jc w:val="center"/>
              <w:rPr>
                <w:rFonts w:ascii="仿宋" w:hAnsi="仿宋" w:eastAsia="仿宋" w:cs="宋体"/>
                <w:kern w:val="0"/>
                <w:sz w:val="24"/>
              </w:rPr>
            </w:pPr>
            <w:r>
              <w:rPr>
                <w:rFonts w:hint="eastAsia" w:ascii="仿宋" w:hAnsi="仿宋" w:eastAsia="仿宋" w:cs="宋体"/>
                <w:kern w:val="0"/>
                <w:sz w:val="24"/>
              </w:rPr>
              <w:t>2000</w:t>
            </w:r>
          </w:p>
        </w:tc>
        <w:tc>
          <w:tcPr>
            <w:tcW w:w="1487" w:type="dxa"/>
            <w:tcBorders>
              <w:top w:val="nil"/>
              <w:left w:val="nil"/>
              <w:bottom w:val="single" w:color="auto" w:sz="4" w:space="0"/>
              <w:right w:val="single" w:color="auto" w:sz="4" w:space="0"/>
            </w:tcBorders>
            <w:vAlign w:val="center"/>
          </w:tcPr>
          <w:p w14:paraId="35039E4A">
            <w:pPr>
              <w:widowControl/>
              <w:jc w:val="center"/>
              <w:rPr>
                <w:rFonts w:ascii="仿宋" w:hAnsi="仿宋" w:eastAsia="仿宋" w:cs="宋体"/>
                <w:kern w:val="0"/>
                <w:sz w:val="24"/>
              </w:rPr>
            </w:pPr>
            <w:r>
              <w:rPr>
                <w:rFonts w:hint="eastAsia" w:ascii="仿宋" w:hAnsi="仿宋" w:eastAsia="仿宋" w:cs="宋体"/>
                <w:kern w:val="0"/>
                <w:sz w:val="24"/>
              </w:rPr>
              <w:t>2年</w:t>
            </w:r>
          </w:p>
        </w:tc>
      </w:tr>
      <w:tr w14:paraId="601C732B">
        <w:tblPrEx>
          <w:tblCellMar>
            <w:top w:w="0" w:type="dxa"/>
            <w:left w:w="0" w:type="dxa"/>
            <w:bottom w:w="0" w:type="dxa"/>
            <w:right w:w="0" w:type="dxa"/>
          </w:tblCellMar>
        </w:tblPrEx>
        <w:trPr>
          <w:trHeight w:val="425" w:hRule="atLeast"/>
          <w:jc w:val="right"/>
        </w:trPr>
        <w:tc>
          <w:tcPr>
            <w:tcW w:w="755" w:type="dxa"/>
            <w:tcBorders>
              <w:top w:val="nil"/>
              <w:left w:val="single" w:color="auto" w:sz="4" w:space="0"/>
              <w:bottom w:val="single" w:color="auto" w:sz="4" w:space="0"/>
              <w:right w:val="single" w:color="auto" w:sz="4" w:space="0"/>
            </w:tcBorders>
            <w:shd w:val="clear" w:color="auto" w:fill="auto"/>
            <w:vAlign w:val="center"/>
          </w:tcPr>
          <w:p w14:paraId="65B2CBA9">
            <w:pPr>
              <w:widowControl/>
              <w:jc w:val="center"/>
              <w:rPr>
                <w:rFonts w:ascii="仿宋" w:hAnsi="仿宋" w:eastAsia="仿宋"/>
                <w:kern w:val="0"/>
                <w:sz w:val="24"/>
              </w:rPr>
            </w:pPr>
            <w:r>
              <w:rPr>
                <w:rFonts w:ascii="仿宋" w:hAnsi="仿宋" w:eastAsia="仿宋"/>
                <w:kern w:val="0"/>
                <w:sz w:val="24"/>
              </w:rPr>
              <w:t>47</w:t>
            </w:r>
          </w:p>
        </w:tc>
        <w:tc>
          <w:tcPr>
            <w:tcW w:w="822" w:type="dxa"/>
            <w:vMerge w:val="continue"/>
            <w:tcBorders>
              <w:left w:val="single" w:color="auto" w:sz="4" w:space="0"/>
              <w:right w:val="single" w:color="auto" w:sz="4" w:space="0"/>
            </w:tcBorders>
            <w:shd w:val="clear" w:color="auto" w:fill="auto"/>
            <w:vAlign w:val="center"/>
          </w:tcPr>
          <w:p w14:paraId="54F9E227">
            <w:pPr>
              <w:widowControl/>
              <w:jc w:val="left"/>
              <w:rPr>
                <w:rFonts w:ascii="仿宋" w:hAnsi="仿宋" w:eastAsia="仿宋"/>
                <w:kern w:val="0"/>
                <w:sz w:val="24"/>
              </w:rPr>
            </w:pPr>
          </w:p>
        </w:tc>
        <w:tc>
          <w:tcPr>
            <w:tcW w:w="1386" w:type="dxa"/>
            <w:tcBorders>
              <w:top w:val="nil"/>
              <w:left w:val="nil"/>
              <w:bottom w:val="single" w:color="auto" w:sz="4" w:space="0"/>
              <w:right w:val="single" w:color="auto" w:sz="4" w:space="0"/>
            </w:tcBorders>
            <w:shd w:val="clear" w:color="000000" w:fill="FFFFFF"/>
            <w:vAlign w:val="center"/>
          </w:tcPr>
          <w:p w14:paraId="04259D4A">
            <w:pPr>
              <w:widowControl/>
              <w:jc w:val="center"/>
              <w:rPr>
                <w:rFonts w:ascii="仿宋" w:hAnsi="仿宋" w:eastAsia="仿宋"/>
                <w:kern w:val="0"/>
                <w:sz w:val="24"/>
              </w:rPr>
            </w:pPr>
            <w:r>
              <w:rPr>
                <w:rFonts w:ascii="仿宋" w:hAnsi="仿宋" w:eastAsia="仿宋"/>
                <w:kern w:val="0"/>
                <w:sz w:val="24"/>
              </w:rPr>
              <w:t>M11700</w:t>
            </w:r>
          </w:p>
        </w:tc>
        <w:tc>
          <w:tcPr>
            <w:tcW w:w="3598" w:type="dxa"/>
            <w:tcBorders>
              <w:top w:val="nil"/>
              <w:left w:val="nil"/>
              <w:bottom w:val="single" w:color="auto" w:sz="4" w:space="0"/>
              <w:right w:val="single" w:color="auto" w:sz="4" w:space="0"/>
            </w:tcBorders>
            <w:shd w:val="clear" w:color="000000" w:fill="FFFFFF"/>
            <w:vAlign w:val="center"/>
          </w:tcPr>
          <w:p w14:paraId="09E7A66D">
            <w:pPr>
              <w:widowControl/>
              <w:jc w:val="center"/>
              <w:rPr>
                <w:rFonts w:ascii="仿宋" w:hAnsi="仿宋" w:eastAsia="仿宋"/>
                <w:kern w:val="0"/>
                <w:sz w:val="24"/>
              </w:rPr>
            </w:pPr>
            <w:r>
              <w:rPr>
                <w:rFonts w:ascii="仿宋" w:hAnsi="仿宋" w:eastAsia="仿宋"/>
                <w:kern w:val="0"/>
                <w:sz w:val="24"/>
              </w:rPr>
              <w:t>氟骨病</w:t>
            </w:r>
          </w:p>
        </w:tc>
        <w:tc>
          <w:tcPr>
            <w:tcW w:w="1180" w:type="dxa"/>
            <w:tcBorders>
              <w:top w:val="nil"/>
              <w:left w:val="nil"/>
              <w:bottom w:val="single" w:color="auto" w:sz="4" w:space="0"/>
              <w:right w:val="single" w:color="auto" w:sz="4" w:space="0"/>
            </w:tcBorders>
            <w:vAlign w:val="center"/>
          </w:tcPr>
          <w:p w14:paraId="423990AB">
            <w:pPr>
              <w:widowControl/>
              <w:jc w:val="center"/>
              <w:rPr>
                <w:rFonts w:ascii="仿宋" w:hAnsi="仿宋" w:eastAsia="仿宋"/>
                <w:kern w:val="0"/>
                <w:sz w:val="24"/>
              </w:rPr>
            </w:pPr>
            <w:r>
              <w:rPr>
                <w:rFonts w:ascii="仿宋" w:hAnsi="仿宋" w:eastAsia="仿宋"/>
                <w:kern w:val="0"/>
                <w:sz w:val="24"/>
              </w:rPr>
              <w:t>85</w:t>
            </w:r>
          </w:p>
        </w:tc>
        <w:tc>
          <w:tcPr>
            <w:tcW w:w="1394" w:type="dxa"/>
            <w:tcBorders>
              <w:top w:val="nil"/>
              <w:left w:val="nil"/>
              <w:bottom w:val="single" w:color="auto" w:sz="4" w:space="0"/>
              <w:right w:val="single" w:color="auto" w:sz="4" w:space="0"/>
            </w:tcBorders>
            <w:vAlign w:val="center"/>
          </w:tcPr>
          <w:p w14:paraId="55C4FF7E">
            <w:pPr>
              <w:widowControl/>
              <w:jc w:val="center"/>
              <w:rPr>
                <w:rFonts w:ascii="仿宋" w:hAnsi="仿宋" w:eastAsia="仿宋" w:cs="宋体"/>
                <w:kern w:val="0"/>
                <w:sz w:val="24"/>
              </w:rPr>
            </w:pPr>
            <w:r>
              <w:rPr>
                <w:rFonts w:hint="eastAsia" w:ascii="仿宋" w:hAnsi="仿宋" w:eastAsia="仿宋" w:cs="宋体"/>
                <w:kern w:val="0"/>
                <w:sz w:val="24"/>
              </w:rPr>
              <w:t>2000</w:t>
            </w:r>
          </w:p>
        </w:tc>
        <w:tc>
          <w:tcPr>
            <w:tcW w:w="1174" w:type="dxa"/>
            <w:tcBorders>
              <w:top w:val="nil"/>
              <w:left w:val="nil"/>
              <w:bottom w:val="single" w:color="auto" w:sz="4" w:space="0"/>
              <w:right w:val="single" w:color="auto" w:sz="4" w:space="0"/>
            </w:tcBorders>
            <w:vAlign w:val="center"/>
          </w:tcPr>
          <w:p w14:paraId="16584F1E">
            <w:pPr>
              <w:widowControl/>
              <w:jc w:val="center"/>
              <w:rPr>
                <w:rFonts w:ascii="仿宋" w:hAnsi="仿宋" w:eastAsia="仿宋" w:cs="宋体"/>
                <w:kern w:val="0"/>
                <w:sz w:val="24"/>
              </w:rPr>
            </w:pPr>
            <w:r>
              <w:rPr>
                <w:rFonts w:hint="eastAsia" w:ascii="仿宋" w:hAnsi="仿宋" w:eastAsia="仿宋" w:cs="宋体"/>
                <w:kern w:val="0"/>
                <w:sz w:val="24"/>
              </w:rPr>
              <w:t>70</w:t>
            </w:r>
          </w:p>
        </w:tc>
        <w:tc>
          <w:tcPr>
            <w:tcW w:w="1560" w:type="dxa"/>
            <w:tcBorders>
              <w:top w:val="nil"/>
              <w:left w:val="nil"/>
              <w:bottom w:val="single" w:color="auto" w:sz="4" w:space="0"/>
              <w:right w:val="single" w:color="auto" w:sz="4" w:space="0"/>
            </w:tcBorders>
            <w:vAlign w:val="center"/>
          </w:tcPr>
          <w:p w14:paraId="5CA472A5">
            <w:pPr>
              <w:widowControl/>
              <w:jc w:val="center"/>
              <w:rPr>
                <w:rFonts w:ascii="仿宋" w:hAnsi="仿宋" w:eastAsia="仿宋" w:cs="宋体"/>
                <w:kern w:val="0"/>
                <w:sz w:val="24"/>
              </w:rPr>
            </w:pPr>
            <w:r>
              <w:rPr>
                <w:rFonts w:hint="eastAsia" w:ascii="仿宋" w:hAnsi="仿宋" w:eastAsia="仿宋" w:cs="宋体"/>
                <w:kern w:val="0"/>
                <w:sz w:val="24"/>
              </w:rPr>
              <w:t>2000</w:t>
            </w:r>
          </w:p>
        </w:tc>
        <w:tc>
          <w:tcPr>
            <w:tcW w:w="1487" w:type="dxa"/>
            <w:tcBorders>
              <w:top w:val="nil"/>
              <w:left w:val="nil"/>
              <w:bottom w:val="single" w:color="auto" w:sz="4" w:space="0"/>
              <w:right w:val="single" w:color="auto" w:sz="4" w:space="0"/>
            </w:tcBorders>
            <w:vAlign w:val="center"/>
          </w:tcPr>
          <w:p w14:paraId="20363F72">
            <w:pPr>
              <w:widowControl/>
              <w:jc w:val="center"/>
              <w:rPr>
                <w:rFonts w:ascii="仿宋" w:hAnsi="仿宋" w:eastAsia="仿宋" w:cs="宋体"/>
                <w:kern w:val="0"/>
                <w:sz w:val="24"/>
              </w:rPr>
            </w:pPr>
            <w:r>
              <w:rPr>
                <w:rFonts w:hint="eastAsia" w:ascii="仿宋" w:hAnsi="仿宋" w:eastAsia="仿宋" w:cs="宋体"/>
                <w:kern w:val="0"/>
                <w:sz w:val="24"/>
              </w:rPr>
              <w:t>2年</w:t>
            </w:r>
          </w:p>
        </w:tc>
      </w:tr>
      <w:tr w14:paraId="79B1AD8B">
        <w:tblPrEx>
          <w:tblCellMar>
            <w:top w:w="0" w:type="dxa"/>
            <w:left w:w="0" w:type="dxa"/>
            <w:bottom w:w="0" w:type="dxa"/>
            <w:right w:w="0" w:type="dxa"/>
          </w:tblCellMar>
        </w:tblPrEx>
        <w:trPr>
          <w:trHeight w:val="404" w:hRule="atLeast"/>
          <w:jc w:val="right"/>
        </w:trPr>
        <w:tc>
          <w:tcPr>
            <w:tcW w:w="755" w:type="dxa"/>
            <w:tcBorders>
              <w:top w:val="nil"/>
              <w:left w:val="single" w:color="auto" w:sz="4" w:space="0"/>
              <w:bottom w:val="single" w:color="auto" w:sz="4" w:space="0"/>
              <w:right w:val="single" w:color="auto" w:sz="4" w:space="0"/>
            </w:tcBorders>
            <w:shd w:val="clear" w:color="auto" w:fill="auto"/>
            <w:vAlign w:val="center"/>
          </w:tcPr>
          <w:p w14:paraId="341F28CD">
            <w:pPr>
              <w:widowControl/>
              <w:jc w:val="center"/>
              <w:rPr>
                <w:rFonts w:ascii="仿宋" w:hAnsi="仿宋" w:eastAsia="仿宋"/>
                <w:kern w:val="0"/>
                <w:sz w:val="24"/>
              </w:rPr>
            </w:pPr>
            <w:r>
              <w:rPr>
                <w:rFonts w:ascii="仿宋" w:hAnsi="仿宋" w:eastAsia="仿宋"/>
                <w:kern w:val="0"/>
                <w:sz w:val="24"/>
              </w:rPr>
              <w:t>48</w:t>
            </w:r>
          </w:p>
        </w:tc>
        <w:tc>
          <w:tcPr>
            <w:tcW w:w="822" w:type="dxa"/>
            <w:vMerge w:val="continue"/>
            <w:tcBorders>
              <w:left w:val="single" w:color="auto" w:sz="4" w:space="0"/>
              <w:right w:val="single" w:color="auto" w:sz="4" w:space="0"/>
            </w:tcBorders>
            <w:shd w:val="clear" w:color="auto" w:fill="auto"/>
            <w:vAlign w:val="center"/>
          </w:tcPr>
          <w:p w14:paraId="3EB0F319">
            <w:pPr>
              <w:widowControl/>
              <w:jc w:val="left"/>
              <w:rPr>
                <w:rFonts w:ascii="仿宋" w:hAnsi="仿宋" w:eastAsia="仿宋"/>
                <w:kern w:val="0"/>
                <w:sz w:val="24"/>
              </w:rPr>
            </w:pPr>
          </w:p>
        </w:tc>
        <w:tc>
          <w:tcPr>
            <w:tcW w:w="1386" w:type="dxa"/>
            <w:tcBorders>
              <w:top w:val="nil"/>
              <w:left w:val="nil"/>
              <w:bottom w:val="single" w:color="auto" w:sz="4" w:space="0"/>
              <w:right w:val="single" w:color="auto" w:sz="4" w:space="0"/>
            </w:tcBorders>
            <w:shd w:val="clear" w:color="000000" w:fill="FFFFFF"/>
            <w:vAlign w:val="center"/>
          </w:tcPr>
          <w:p w14:paraId="14BFE71A">
            <w:pPr>
              <w:widowControl/>
              <w:jc w:val="center"/>
              <w:rPr>
                <w:rFonts w:ascii="仿宋" w:hAnsi="仿宋" w:eastAsia="仿宋"/>
                <w:kern w:val="0"/>
                <w:sz w:val="24"/>
              </w:rPr>
            </w:pPr>
            <w:r>
              <w:rPr>
                <w:rFonts w:ascii="仿宋" w:hAnsi="仿宋" w:eastAsia="仿宋"/>
                <w:kern w:val="0"/>
                <w:sz w:val="24"/>
              </w:rPr>
              <w:t>M00401</w:t>
            </w:r>
          </w:p>
        </w:tc>
        <w:tc>
          <w:tcPr>
            <w:tcW w:w="3598" w:type="dxa"/>
            <w:tcBorders>
              <w:top w:val="nil"/>
              <w:left w:val="nil"/>
              <w:bottom w:val="single" w:color="auto" w:sz="4" w:space="0"/>
              <w:right w:val="single" w:color="auto" w:sz="4" w:space="0"/>
            </w:tcBorders>
            <w:shd w:val="clear" w:color="000000" w:fill="FFFFFF"/>
            <w:vAlign w:val="center"/>
          </w:tcPr>
          <w:p w14:paraId="5F29C94A">
            <w:pPr>
              <w:widowControl/>
              <w:jc w:val="center"/>
              <w:rPr>
                <w:rFonts w:ascii="仿宋" w:hAnsi="仿宋" w:eastAsia="仿宋"/>
                <w:kern w:val="0"/>
                <w:sz w:val="24"/>
              </w:rPr>
            </w:pPr>
            <w:r>
              <w:rPr>
                <w:rFonts w:ascii="仿宋" w:hAnsi="仿宋" w:eastAsia="仿宋"/>
                <w:kern w:val="0"/>
                <w:sz w:val="24"/>
              </w:rPr>
              <w:t>布鲁氏菌病</w:t>
            </w:r>
          </w:p>
        </w:tc>
        <w:tc>
          <w:tcPr>
            <w:tcW w:w="1180" w:type="dxa"/>
            <w:tcBorders>
              <w:top w:val="nil"/>
              <w:left w:val="nil"/>
              <w:bottom w:val="single" w:color="auto" w:sz="4" w:space="0"/>
              <w:right w:val="single" w:color="auto" w:sz="4" w:space="0"/>
            </w:tcBorders>
            <w:vAlign w:val="center"/>
          </w:tcPr>
          <w:p w14:paraId="0CE69D0F">
            <w:pPr>
              <w:widowControl/>
              <w:jc w:val="center"/>
              <w:rPr>
                <w:rFonts w:ascii="仿宋" w:hAnsi="仿宋" w:eastAsia="仿宋"/>
                <w:kern w:val="0"/>
                <w:sz w:val="24"/>
              </w:rPr>
            </w:pPr>
            <w:r>
              <w:rPr>
                <w:rFonts w:ascii="仿宋" w:hAnsi="仿宋" w:eastAsia="仿宋"/>
                <w:kern w:val="0"/>
                <w:sz w:val="24"/>
              </w:rPr>
              <w:t>85</w:t>
            </w:r>
          </w:p>
        </w:tc>
        <w:tc>
          <w:tcPr>
            <w:tcW w:w="1394" w:type="dxa"/>
            <w:tcBorders>
              <w:top w:val="nil"/>
              <w:left w:val="nil"/>
              <w:bottom w:val="single" w:color="auto" w:sz="4" w:space="0"/>
              <w:right w:val="single" w:color="auto" w:sz="4" w:space="0"/>
            </w:tcBorders>
            <w:vAlign w:val="center"/>
          </w:tcPr>
          <w:p w14:paraId="1FAD1513">
            <w:pPr>
              <w:widowControl/>
              <w:jc w:val="center"/>
              <w:rPr>
                <w:rFonts w:ascii="仿宋" w:hAnsi="仿宋" w:eastAsia="仿宋" w:cs="宋体"/>
                <w:kern w:val="0"/>
                <w:sz w:val="24"/>
              </w:rPr>
            </w:pPr>
            <w:r>
              <w:rPr>
                <w:rFonts w:hint="eastAsia" w:ascii="仿宋" w:hAnsi="仿宋" w:eastAsia="仿宋" w:cs="宋体"/>
                <w:kern w:val="0"/>
                <w:sz w:val="24"/>
              </w:rPr>
              <w:t>2000</w:t>
            </w:r>
          </w:p>
        </w:tc>
        <w:tc>
          <w:tcPr>
            <w:tcW w:w="1174" w:type="dxa"/>
            <w:tcBorders>
              <w:top w:val="nil"/>
              <w:left w:val="nil"/>
              <w:bottom w:val="single" w:color="auto" w:sz="4" w:space="0"/>
              <w:right w:val="single" w:color="auto" w:sz="4" w:space="0"/>
            </w:tcBorders>
            <w:vAlign w:val="center"/>
          </w:tcPr>
          <w:p w14:paraId="6BD6B9EC">
            <w:pPr>
              <w:widowControl/>
              <w:jc w:val="center"/>
              <w:rPr>
                <w:rFonts w:ascii="仿宋" w:hAnsi="仿宋" w:eastAsia="仿宋" w:cs="宋体"/>
                <w:kern w:val="0"/>
                <w:sz w:val="24"/>
              </w:rPr>
            </w:pPr>
            <w:r>
              <w:rPr>
                <w:rFonts w:hint="eastAsia" w:ascii="仿宋" w:hAnsi="仿宋" w:eastAsia="仿宋" w:cs="宋体"/>
                <w:kern w:val="0"/>
                <w:sz w:val="24"/>
              </w:rPr>
              <w:t>70</w:t>
            </w:r>
          </w:p>
        </w:tc>
        <w:tc>
          <w:tcPr>
            <w:tcW w:w="1560" w:type="dxa"/>
            <w:tcBorders>
              <w:top w:val="nil"/>
              <w:left w:val="nil"/>
              <w:bottom w:val="single" w:color="auto" w:sz="4" w:space="0"/>
              <w:right w:val="single" w:color="auto" w:sz="4" w:space="0"/>
            </w:tcBorders>
            <w:vAlign w:val="center"/>
          </w:tcPr>
          <w:p w14:paraId="41036C3E">
            <w:pPr>
              <w:widowControl/>
              <w:jc w:val="center"/>
              <w:rPr>
                <w:rFonts w:ascii="仿宋" w:hAnsi="仿宋" w:eastAsia="仿宋" w:cs="宋体"/>
                <w:kern w:val="0"/>
                <w:sz w:val="24"/>
              </w:rPr>
            </w:pPr>
            <w:r>
              <w:rPr>
                <w:rFonts w:hint="eastAsia" w:ascii="仿宋" w:hAnsi="仿宋" w:eastAsia="仿宋" w:cs="宋体"/>
                <w:kern w:val="0"/>
                <w:sz w:val="24"/>
              </w:rPr>
              <w:t>2000</w:t>
            </w:r>
          </w:p>
        </w:tc>
        <w:tc>
          <w:tcPr>
            <w:tcW w:w="1487" w:type="dxa"/>
            <w:tcBorders>
              <w:top w:val="nil"/>
              <w:left w:val="nil"/>
              <w:bottom w:val="single" w:color="auto" w:sz="4" w:space="0"/>
              <w:right w:val="single" w:color="auto" w:sz="4" w:space="0"/>
            </w:tcBorders>
            <w:vAlign w:val="center"/>
          </w:tcPr>
          <w:p w14:paraId="0D75C033">
            <w:pPr>
              <w:widowControl/>
              <w:jc w:val="center"/>
              <w:rPr>
                <w:rFonts w:ascii="仿宋" w:hAnsi="仿宋" w:eastAsia="仿宋" w:cs="宋体"/>
                <w:kern w:val="0"/>
                <w:sz w:val="24"/>
              </w:rPr>
            </w:pPr>
            <w:r>
              <w:rPr>
                <w:rFonts w:hint="eastAsia" w:ascii="仿宋" w:hAnsi="仿宋" w:eastAsia="仿宋" w:cs="宋体"/>
                <w:kern w:val="0"/>
                <w:sz w:val="24"/>
              </w:rPr>
              <w:t>3年</w:t>
            </w:r>
          </w:p>
        </w:tc>
      </w:tr>
      <w:tr w14:paraId="7E44B245">
        <w:tblPrEx>
          <w:tblCellMar>
            <w:top w:w="0" w:type="dxa"/>
            <w:left w:w="0" w:type="dxa"/>
            <w:bottom w:w="0" w:type="dxa"/>
            <w:right w:w="0" w:type="dxa"/>
          </w:tblCellMar>
        </w:tblPrEx>
        <w:trPr>
          <w:trHeight w:val="393" w:hRule="atLeast"/>
          <w:jc w:val="right"/>
        </w:trPr>
        <w:tc>
          <w:tcPr>
            <w:tcW w:w="755" w:type="dxa"/>
            <w:tcBorders>
              <w:top w:val="nil"/>
              <w:left w:val="single" w:color="auto" w:sz="4" w:space="0"/>
              <w:bottom w:val="single" w:color="auto" w:sz="4" w:space="0"/>
              <w:right w:val="single" w:color="auto" w:sz="4" w:space="0"/>
            </w:tcBorders>
            <w:shd w:val="clear" w:color="auto" w:fill="auto"/>
            <w:vAlign w:val="center"/>
          </w:tcPr>
          <w:p w14:paraId="4B9F2D28">
            <w:pPr>
              <w:widowControl/>
              <w:jc w:val="center"/>
              <w:rPr>
                <w:rFonts w:ascii="仿宋" w:hAnsi="仿宋" w:eastAsia="仿宋"/>
                <w:kern w:val="0"/>
                <w:sz w:val="24"/>
              </w:rPr>
            </w:pPr>
            <w:r>
              <w:rPr>
                <w:rFonts w:ascii="仿宋" w:hAnsi="仿宋" w:eastAsia="仿宋"/>
                <w:kern w:val="0"/>
                <w:sz w:val="24"/>
              </w:rPr>
              <w:t>49</w:t>
            </w:r>
          </w:p>
        </w:tc>
        <w:tc>
          <w:tcPr>
            <w:tcW w:w="822" w:type="dxa"/>
            <w:vMerge w:val="continue"/>
            <w:tcBorders>
              <w:left w:val="single" w:color="auto" w:sz="4" w:space="0"/>
              <w:right w:val="single" w:color="auto" w:sz="4" w:space="0"/>
            </w:tcBorders>
            <w:shd w:val="clear" w:color="auto" w:fill="auto"/>
            <w:vAlign w:val="center"/>
          </w:tcPr>
          <w:p w14:paraId="6B31763F">
            <w:pPr>
              <w:widowControl/>
              <w:jc w:val="left"/>
              <w:rPr>
                <w:rFonts w:ascii="仿宋" w:hAnsi="仿宋" w:eastAsia="仿宋"/>
                <w:kern w:val="0"/>
                <w:sz w:val="24"/>
              </w:rPr>
            </w:pPr>
          </w:p>
        </w:tc>
        <w:tc>
          <w:tcPr>
            <w:tcW w:w="1386" w:type="dxa"/>
            <w:tcBorders>
              <w:top w:val="nil"/>
              <w:left w:val="nil"/>
              <w:bottom w:val="single" w:color="auto" w:sz="4" w:space="0"/>
              <w:right w:val="single" w:color="auto" w:sz="4" w:space="0"/>
            </w:tcBorders>
            <w:shd w:val="clear" w:color="000000" w:fill="FFFFFF"/>
            <w:vAlign w:val="center"/>
          </w:tcPr>
          <w:p w14:paraId="110B3D2B">
            <w:pPr>
              <w:widowControl/>
              <w:jc w:val="center"/>
              <w:rPr>
                <w:rFonts w:ascii="仿宋" w:hAnsi="仿宋" w:eastAsia="仿宋"/>
                <w:kern w:val="0"/>
                <w:sz w:val="24"/>
              </w:rPr>
            </w:pPr>
            <w:r>
              <w:rPr>
                <w:rFonts w:ascii="仿宋" w:hAnsi="仿宋" w:eastAsia="仿宋"/>
                <w:kern w:val="0"/>
                <w:sz w:val="24"/>
              </w:rPr>
              <w:t>M00406</w:t>
            </w:r>
          </w:p>
        </w:tc>
        <w:tc>
          <w:tcPr>
            <w:tcW w:w="3598" w:type="dxa"/>
            <w:tcBorders>
              <w:top w:val="nil"/>
              <w:left w:val="nil"/>
              <w:bottom w:val="single" w:color="auto" w:sz="4" w:space="0"/>
              <w:right w:val="single" w:color="auto" w:sz="4" w:space="0"/>
            </w:tcBorders>
            <w:shd w:val="clear" w:color="000000" w:fill="FFFFFF"/>
            <w:vAlign w:val="center"/>
          </w:tcPr>
          <w:p w14:paraId="2A29D4B4">
            <w:pPr>
              <w:widowControl/>
              <w:jc w:val="center"/>
              <w:rPr>
                <w:rFonts w:ascii="仿宋" w:hAnsi="仿宋" w:eastAsia="仿宋"/>
                <w:kern w:val="0"/>
                <w:sz w:val="24"/>
              </w:rPr>
            </w:pPr>
            <w:r>
              <w:rPr>
                <w:rFonts w:ascii="仿宋" w:hAnsi="仿宋" w:eastAsia="仿宋"/>
                <w:kern w:val="0"/>
                <w:sz w:val="24"/>
              </w:rPr>
              <w:t>包虫病</w:t>
            </w:r>
          </w:p>
        </w:tc>
        <w:tc>
          <w:tcPr>
            <w:tcW w:w="1180" w:type="dxa"/>
            <w:tcBorders>
              <w:top w:val="nil"/>
              <w:left w:val="nil"/>
              <w:bottom w:val="single" w:color="auto" w:sz="4" w:space="0"/>
              <w:right w:val="single" w:color="auto" w:sz="4" w:space="0"/>
            </w:tcBorders>
            <w:vAlign w:val="center"/>
          </w:tcPr>
          <w:p w14:paraId="72FF4351">
            <w:pPr>
              <w:widowControl/>
              <w:jc w:val="center"/>
              <w:rPr>
                <w:rFonts w:ascii="仿宋" w:hAnsi="仿宋" w:eastAsia="仿宋"/>
                <w:kern w:val="0"/>
                <w:sz w:val="24"/>
              </w:rPr>
            </w:pPr>
            <w:r>
              <w:rPr>
                <w:rFonts w:ascii="仿宋" w:hAnsi="仿宋" w:eastAsia="仿宋"/>
                <w:kern w:val="0"/>
                <w:sz w:val="24"/>
              </w:rPr>
              <w:t>85</w:t>
            </w:r>
          </w:p>
        </w:tc>
        <w:tc>
          <w:tcPr>
            <w:tcW w:w="1394" w:type="dxa"/>
            <w:tcBorders>
              <w:top w:val="nil"/>
              <w:left w:val="nil"/>
              <w:bottom w:val="single" w:color="auto" w:sz="4" w:space="0"/>
              <w:right w:val="single" w:color="auto" w:sz="4" w:space="0"/>
            </w:tcBorders>
            <w:vAlign w:val="center"/>
          </w:tcPr>
          <w:p w14:paraId="0B0F9161">
            <w:pPr>
              <w:widowControl/>
              <w:jc w:val="center"/>
              <w:rPr>
                <w:rFonts w:ascii="仿宋" w:hAnsi="仿宋" w:eastAsia="仿宋" w:cs="宋体"/>
                <w:kern w:val="0"/>
                <w:sz w:val="24"/>
              </w:rPr>
            </w:pPr>
            <w:r>
              <w:rPr>
                <w:rFonts w:hint="eastAsia" w:ascii="仿宋" w:hAnsi="仿宋" w:eastAsia="仿宋" w:cs="宋体"/>
                <w:kern w:val="0"/>
                <w:sz w:val="24"/>
              </w:rPr>
              <w:t>2000</w:t>
            </w:r>
          </w:p>
        </w:tc>
        <w:tc>
          <w:tcPr>
            <w:tcW w:w="1174" w:type="dxa"/>
            <w:tcBorders>
              <w:top w:val="nil"/>
              <w:left w:val="nil"/>
              <w:bottom w:val="single" w:color="auto" w:sz="4" w:space="0"/>
              <w:right w:val="single" w:color="auto" w:sz="4" w:space="0"/>
            </w:tcBorders>
            <w:vAlign w:val="center"/>
          </w:tcPr>
          <w:p w14:paraId="7B9655C7">
            <w:pPr>
              <w:widowControl/>
              <w:jc w:val="center"/>
              <w:rPr>
                <w:rFonts w:ascii="仿宋" w:hAnsi="仿宋" w:eastAsia="仿宋" w:cs="宋体"/>
                <w:kern w:val="0"/>
                <w:sz w:val="24"/>
              </w:rPr>
            </w:pPr>
            <w:r>
              <w:rPr>
                <w:rFonts w:hint="eastAsia" w:ascii="仿宋" w:hAnsi="仿宋" w:eastAsia="仿宋" w:cs="宋体"/>
                <w:kern w:val="0"/>
                <w:sz w:val="24"/>
              </w:rPr>
              <w:t>70</w:t>
            </w:r>
          </w:p>
        </w:tc>
        <w:tc>
          <w:tcPr>
            <w:tcW w:w="1560" w:type="dxa"/>
            <w:tcBorders>
              <w:top w:val="nil"/>
              <w:left w:val="nil"/>
              <w:bottom w:val="single" w:color="auto" w:sz="4" w:space="0"/>
              <w:right w:val="single" w:color="auto" w:sz="4" w:space="0"/>
            </w:tcBorders>
            <w:vAlign w:val="center"/>
          </w:tcPr>
          <w:p w14:paraId="7CA3D221">
            <w:pPr>
              <w:widowControl/>
              <w:jc w:val="center"/>
              <w:rPr>
                <w:rFonts w:ascii="仿宋" w:hAnsi="仿宋" w:eastAsia="仿宋" w:cs="宋体"/>
                <w:kern w:val="0"/>
                <w:sz w:val="24"/>
              </w:rPr>
            </w:pPr>
            <w:r>
              <w:rPr>
                <w:rFonts w:hint="eastAsia" w:ascii="仿宋" w:hAnsi="仿宋" w:eastAsia="仿宋" w:cs="宋体"/>
                <w:kern w:val="0"/>
                <w:sz w:val="24"/>
              </w:rPr>
              <w:t>2000</w:t>
            </w:r>
          </w:p>
        </w:tc>
        <w:tc>
          <w:tcPr>
            <w:tcW w:w="1487" w:type="dxa"/>
            <w:tcBorders>
              <w:top w:val="nil"/>
              <w:left w:val="nil"/>
              <w:bottom w:val="single" w:color="auto" w:sz="4" w:space="0"/>
              <w:right w:val="single" w:color="auto" w:sz="4" w:space="0"/>
            </w:tcBorders>
            <w:vAlign w:val="center"/>
          </w:tcPr>
          <w:p w14:paraId="46FB2096">
            <w:pPr>
              <w:widowControl/>
              <w:jc w:val="center"/>
              <w:rPr>
                <w:rFonts w:ascii="仿宋" w:hAnsi="仿宋" w:eastAsia="仿宋" w:cs="宋体"/>
                <w:kern w:val="0"/>
                <w:sz w:val="24"/>
              </w:rPr>
            </w:pPr>
            <w:r>
              <w:rPr>
                <w:rFonts w:hint="eastAsia" w:ascii="仿宋" w:hAnsi="仿宋" w:eastAsia="仿宋" w:cs="宋体"/>
                <w:kern w:val="0"/>
                <w:sz w:val="24"/>
              </w:rPr>
              <w:t>3年</w:t>
            </w:r>
          </w:p>
        </w:tc>
      </w:tr>
      <w:tr w14:paraId="6BEEE20F">
        <w:tblPrEx>
          <w:tblCellMar>
            <w:top w:w="0" w:type="dxa"/>
            <w:left w:w="0" w:type="dxa"/>
            <w:bottom w:w="0" w:type="dxa"/>
            <w:right w:w="0" w:type="dxa"/>
          </w:tblCellMar>
        </w:tblPrEx>
        <w:trPr>
          <w:trHeight w:val="426" w:hRule="atLeast"/>
          <w:jc w:val="right"/>
        </w:trPr>
        <w:tc>
          <w:tcPr>
            <w:tcW w:w="755" w:type="dxa"/>
            <w:tcBorders>
              <w:top w:val="nil"/>
              <w:left w:val="single" w:color="auto" w:sz="4" w:space="0"/>
              <w:bottom w:val="single" w:color="auto" w:sz="4" w:space="0"/>
              <w:right w:val="single" w:color="auto" w:sz="4" w:space="0"/>
            </w:tcBorders>
            <w:shd w:val="clear" w:color="auto" w:fill="auto"/>
            <w:vAlign w:val="center"/>
          </w:tcPr>
          <w:p w14:paraId="3DFF3AD7">
            <w:pPr>
              <w:widowControl/>
              <w:jc w:val="center"/>
              <w:rPr>
                <w:rFonts w:ascii="仿宋" w:hAnsi="仿宋" w:eastAsia="仿宋"/>
                <w:kern w:val="0"/>
                <w:sz w:val="24"/>
              </w:rPr>
            </w:pPr>
            <w:r>
              <w:rPr>
                <w:rFonts w:ascii="仿宋" w:hAnsi="仿宋" w:eastAsia="仿宋"/>
                <w:kern w:val="0"/>
                <w:sz w:val="24"/>
              </w:rPr>
              <w:t>50</w:t>
            </w:r>
          </w:p>
        </w:tc>
        <w:tc>
          <w:tcPr>
            <w:tcW w:w="822" w:type="dxa"/>
            <w:vMerge w:val="continue"/>
            <w:tcBorders>
              <w:left w:val="single" w:color="auto" w:sz="4" w:space="0"/>
              <w:right w:val="single" w:color="auto" w:sz="4" w:space="0"/>
            </w:tcBorders>
            <w:shd w:val="clear" w:color="auto" w:fill="auto"/>
            <w:vAlign w:val="center"/>
          </w:tcPr>
          <w:p w14:paraId="603EF21A">
            <w:pPr>
              <w:widowControl/>
              <w:jc w:val="left"/>
              <w:rPr>
                <w:rFonts w:ascii="仿宋" w:hAnsi="仿宋" w:eastAsia="仿宋"/>
                <w:kern w:val="0"/>
                <w:sz w:val="24"/>
              </w:rPr>
            </w:pPr>
          </w:p>
        </w:tc>
        <w:tc>
          <w:tcPr>
            <w:tcW w:w="1386" w:type="dxa"/>
            <w:tcBorders>
              <w:top w:val="nil"/>
              <w:left w:val="nil"/>
              <w:bottom w:val="single" w:color="auto" w:sz="4" w:space="0"/>
              <w:right w:val="single" w:color="auto" w:sz="4" w:space="0"/>
            </w:tcBorders>
            <w:shd w:val="clear" w:color="000000" w:fill="FFFFFF"/>
            <w:vAlign w:val="center"/>
          </w:tcPr>
          <w:p w14:paraId="1D56A496">
            <w:pPr>
              <w:widowControl/>
              <w:jc w:val="center"/>
              <w:rPr>
                <w:rFonts w:ascii="仿宋" w:hAnsi="仿宋" w:eastAsia="仿宋"/>
                <w:kern w:val="0"/>
                <w:sz w:val="24"/>
              </w:rPr>
            </w:pPr>
            <w:r>
              <w:rPr>
                <w:rFonts w:ascii="仿宋" w:hAnsi="仿宋" w:eastAsia="仿宋"/>
                <w:kern w:val="0"/>
                <w:sz w:val="24"/>
              </w:rPr>
              <w:t>M00407</w:t>
            </w:r>
          </w:p>
        </w:tc>
        <w:tc>
          <w:tcPr>
            <w:tcW w:w="3598" w:type="dxa"/>
            <w:tcBorders>
              <w:top w:val="nil"/>
              <w:left w:val="nil"/>
              <w:bottom w:val="single" w:color="auto" w:sz="4" w:space="0"/>
              <w:right w:val="single" w:color="auto" w:sz="4" w:space="0"/>
            </w:tcBorders>
            <w:shd w:val="clear" w:color="000000" w:fill="FFFFFF"/>
            <w:vAlign w:val="center"/>
          </w:tcPr>
          <w:p w14:paraId="743D5AE0">
            <w:pPr>
              <w:widowControl/>
              <w:jc w:val="center"/>
              <w:rPr>
                <w:rFonts w:ascii="仿宋" w:hAnsi="仿宋" w:eastAsia="仿宋"/>
                <w:kern w:val="0"/>
                <w:sz w:val="24"/>
              </w:rPr>
            </w:pPr>
            <w:r>
              <w:rPr>
                <w:rFonts w:ascii="仿宋" w:hAnsi="仿宋" w:eastAsia="仿宋"/>
                <w:kern w:val="0"/>
                <w:sz w:val="24"/>
              </w:rPr>
              <w:t>疟疾</w:t>
            </w:r>
          </w:p>
        </w:tc>
        <w:tc>
          <w:tcPr>
            <w:tcW w:w="1180" w:type="dxa"/>
            <w:tcBorders>
              <w:top w:val="nil"/>
              <w:left w:val="nil"/>
              <w:bottom w:val="single" w:color="auto" w:sz="4" w:space="0"/>
              <w:right w:val="single" w:color="auto" w:sz="4" w:space="0"/>
            </w:tcBorders>
            <w:vAlign w:val="center"/>
          </w:tcPr>
          <w:p w14:paraId="5E6C3FDB">
            <w:pPr>
              <w:widowControl/>
              <w:jc w:val="center"/>
              <w:rPr>
                <w:rFonts w:ascii="仿宋" w:hAnsi="仿宋" w:eastAsia="仿宋"/>
                <w:kern w:val="0"/>
                <w:sz w:val="24"/>
              </w:rPr>
            </w:pPr>
            <w:r>
              <w:rPr>
                <w:rFonts w:ascii="仿宋" w:hAnsi="仿宋" w:eastAsia="仿宋"/>
                <w:kern w:val="0"/>
                <w:sz w:val="24"/>
              </w:rPr>
              <w:t>85</w:t>
            </w:r>
          </w:p>
        </w:tc>
        <w:tc>
          <w:tcPr>
            <w:tcW w:w="1394" w:type="dxa"/>
            <w:tcBorders>
              <w:top w:val="nil"/>
              <w:left w:val="nil"/>
              <w:bottom w:val="single" w:color="auto" w:sz="4" w:space="0"/>
              <w:right w:val="single" w:color="auto" w:sz="4" w:space="0"/>
            </w:tcBorders>
            <w:vAlign w:val="center"/>
          </w:tcPr>
          <w:p w14:paraId="48732FDE">
            <w:pPr>
              <w:widowControl/>
              <w:jc w:val="center"/>
              <w:rPr>
                <w:rFonts w:ascii="仿宋" w:hAnsi="仿宋" w:eastAsia="仿宋" w:cs="宋体"/>
                <w:kern w:val="0"/>
                <w:sz w:val="24"/>
              </w:rPr>
            </w:pPr>
            <w:r>
              <w:rPr>
                <w:rFonts w:hint="eastAsia" w:ascii="仿宋" w:hAnsi="仿宋" w:eastAsia="仿宋" w:cs="宋体"/>
                <w:kern w:val="0"/>
                <w:sz w:val="24"/>
              </w:rPr>
              <w:t>2000</w:t>
            </w:r>
          </w:p>
        </w:tc>
        <w:tc>
          <w:tcPr>
            <w:tcW w:w="1174" w:type="dxa"/>
            <w:tcBorders>
              <w:top w:val="nil"/>
              <w:left w:val="nil"/>
              <w:bottom w:val="single" w:color="auto" w:sz="4" w:space="0"/>
              <w:right w:val="single" w:color="auto" w:sz="4" w:space="0"/>
            </w:tcBorders>
            <w:vAlign w:val="center"/>
          </w:tcPr>
          <w:p w14:paraId="3178F15F">
            <w:pPr>
              <w:widowControl/>
              <w:jc w:val="center"/>
              <w:rPr>
                <w:rFonts w:ascii="仿宋" w:hAnsi="仿宋" w:eastAsia="仿宋" w:cs="宋体"/>
                <w:kern w:val="0"/>
                <w:sz w:val="24"/>
              </w:rPr>
            </w:pPr>
            <w:r>
              <w:rPr>
                <w:rFonts w:hint="eastAsia" w:ascii="仿宋" w:hAnsi="仿宋" w:eastAsia="仿宋" w:cs="宋体"/>
                <w:kern w:val="0"/>
                <w:sz w:val="24"/>
              </w:rPr>
              <w:t>70</w:t>
            </w:r>
          </w:p>
        </w:tc>
        <w:tc>
          <w:tcPr>
            <w:tcW w:w="1560" w:type="dxa"/>
            <w:tcBorders>
              <w:top w:val="nil"/>
              <w:left w:val="nil"/>
              <w:bottom w:val="single" w:color="auto" w:sz="4" w:space="0"/>
              <w:right w:val="single" w:color="auto" w:sz="4" w:space="0"/>
            </w:tcBorders>
            <w:vAlign w:val="center"/>
          </w:tcPr>
          <w:p w14:paraId="0FAE9F11">
            <w:pPr>
              <w:widowControl/>
              <w:jc w:val="center"/>
              <w:rPr>
                <w:rFonts w:ascii="仿宋" w:hAnsi="仿宋" w:eastAsia="仿宋" w:cs="宋体"/>
                <w:kern w:val="0"/>
                <w:sz w:val="24"/>
              </w:rPr>
            </w:pPr>
            <w:r>
              <w:rPr>
                <w:rFonts w:hint="eastAsia" w:ascii="仿宋" w:hAnsi="仿宋" w:eastAsia="仿宋" w:cs="宋体"/>
                <w:kern w:val="0"/>
                <w:sz w:val="24"/>
              </w:rPr>
              <w:t>2000</w:t>
            </w:r>
          </w:p>
        </w:tc>
        <w:tc>
          <w:tcPr>
            <w:tcW w:w="1487" w:type="dxa"/>
            <w:tcBorders>
              <w:top w:val="nil"/>
              <w:left w:val="nil"/>
              <w:bottom w:val="single" w:color="auto" w:sz="4" w:space="0"/>
              <w:right w:val="single" w:color="auto" w:sz="4" w:space="0"/>
            </w:tcBorders>
            <w:vAlign w:val="center"/>
          </w:tcPr>
          <w:p w14:paraId="393368CC">
            <w:pPr>
              <w:widowControl/>
              <w:jc w:val="center"/>
              <w:rPr>
                <w:rFonts w:ascii="仿宋" w:hAnsi="仿宋" w:eastAsia="仿宋" w:cs="宋体"/>
                <w:kern w:val="0"/>
                <w:sz w:val="24"/>
              </w:rPr>
            </w:pPr>
            <w:r>
              <w:rPr>
                <w:rFonts w:hint="eastAsia" w:ascii="仿宋" w:hAnsi="仿宋" w:eastAsia="仿宋" w:cs="宋体"/>
                <w:kern w:val="0"/>
                <w:sz w:val="24"/>
              </w:rPr>
              <w:t>3年</w:t>
            </w:r>
          </w:p>
        </w:tc>
      </w:tr>
      <w:tr w14:paraId="242EC683">
        <w:tblPrEx>
          <w:tblCellMar>
            <w:top w:w="0" w:type="dxa"/>
            <w:left w:w="0" w:type="dxa"/>
            <w:bottom w:w="0" w:type="dxa"/>
            <w:right w:w="0" w:type="dxa"/>
          </w:tblCellMar>
        </w:tblPrEx>
        <w:trPr>
          <w:trHeight w:val="361" w:hRule="atLeast"/>
          <w:jc w:val="right"/>
        </w:trPr>
        <w:tc>
          <w:tcPr>
            <w:tcW w:w="755" w:type="dxa"/>
            <w:tcBorders>
              <w:top w:val="nil"/>
              <w:left w:val="single" w:color="auto" w:sz="4" w:space="0"/>
              <w:bottom w:val="single" w:color="auto" w:sz="4" w:space="0"/>
              <w:right w:val="single" w:color="auto" w:sz="4" w:space="0"/>
            </w:tcBorders>
            <w:shd w:val="clear" w:color="auto" w:fill="auto"/>
            <w:vAlign w:val="center"/>
          </w:tcPr>
          <w:p w14:paraId="099601CA">
            <w:pPr>
              <w:widowControl/>
              <w:jc w:val="center"/>
              <w:rPr>
                <w:rFonts w:ascii="仿宋" w:hAnsi="仿宋" w:eastAsia="仿宋"/>
                <w:kern w:val="0"/>
                <w:sz w:val="24"/>
              </w:rPr>
            </w:pPr>
            <w:r>
              <w:rPr>
                <w:rFonts w:ascii="仿宋" w:hAnsi="仿宋" w:eastAsia="仿宋"/>
                <w:kern w:val="0"/>
                <w:sz w:val="24"/>
              </w:rPr>
              <w:t>51</w:t>
            </w:r>
          </w:p>
        </w:tc>
        <w:tc>
          <w:tcPr>
            <w:tcW w:w="822" w:type="dxa"/>
            <w:vMerge w:val="continue"/>
            <w:tcBorders>
              <w:left w:val="single" w:color="auto" w:sz="4" w:space="0"/>
              <w:right w:val="single" w:color="auto" w:sz="4" w:space="0"/>
            </w:tcBorders>
            <w:shd w:val="clear" w:color="auto" w:fill="auto"/>
            <w:vAlign w:val="center"/>
          </w:tcPr>
          <w:p w14:paraId="7F6B477D">
            <w:pPr>
              <w:widowControl/>
              <w:jc w:val="left"/>
              <w:rPr>
                <w:rFonts w:ascii="仿宋" w:hAnsi="仿宋" w:eastAsia="仿宋"/>
                <w:kern w:val="0"/>
                <w:sz w:val="24"/>
              </w:rPr>
            </w:pPr>
          </w:p>
        </w:tc>
        <w:tc>
          <w:tcPr>
            <w:tcW w:w="1386" w:type="dxa"/>
            <w:tcBorders>
              <w:top w:val="nil"/>
              <w:left w:val="nil"/>
              <w:bottom w:val="single" w:color="auto" w:sz="4" w:space="0"/>
              <w:right w:val="single" w:color="auto" w:sz="4" w:space="0"/>
            </w:tcBorders>
            <w:shd w:val="clear" w:color="000000" w:fill="FFFFFF"/>
            <w:vAlign w:val="center"/>
          </w:tcPr>
          <w:p w14:paraId="56CCF060">
            <w:pPr>
              <w:widowControl/>
              <w:jc w:val="center"/>
              <w:rPr>
                <w:rFonts w:ascii="仿宋" w:hAnsi="仿宋" w:eastAsia="仿宋"/>
                <w:kern w:val="0"/>
                <w:sz w:val="24"/>
              </w:rPr>
            </w:pPr>
            <w:r>
              <w:rPr>
                <w:rFonts w:ascii="仿宋" w:hAnsi="仿宋" w:eastAsia="仿宋"/>
                <w:kern w:val="0"/>
                <w:sz w:val="24"/>
              </w:rPr>
              <w:t>M00408</w:t>
            </w:r>
          </w:p>
        </w:tc>
        <w:tc>
          <w:tcPr>
            <w:tcW w:w="3598" w:type="dxa"/>
            <w:tcBorders>
              <w:top w:val="nil"/>
              <w:left w:val="nil"/>
              <w:bottom w:val="single" w:color="auto" w:sz="4" w:space="0"/>
              <w:right w:val="single" w:color="auto" w:sz="4" w:space="0"/>
            </w:tcBorders>
            <w:shd w:val="clear" w:color="000000" w:fill="FFFFFF"/>
            <w:vAlign w:val="center"/>
          </w:tcPr>
          <w:p w14:paraId="620CB7F2">
            <w:pPr>
              <w:widowControl/>
              <w:jc w:val="center"/>
              <w:rPr>
                <w:rFonts w:ascii="仿宋" w:hAnsi="仿宋" w:eastAsia="仿宋"/>
                <w:kern w:val="0"/>
                <w:sz w:val="24"/>
              </w:rPr>
            </w:pPr>
            <w:r>
              <w:rPr>
                <w:rFonts w:ascii="仿宋" w:hAnsi="仿宋" w:eastAsia="仿宋"/>
                <w:kern w:val="0"/>
                <w:sz w:val="24"/>
              </w:rPr>
              <w:t>黑热病</w:t>
            </w:r>
          </w:p>
        </w:tc>
        <w:tc>
          <w:tcPr>
            <w:tcW w:w="1180" w:type="dxa"/>
            <w:tcBorders>
              <w:top w:val="nil"/>
              <w:left w:val="nil"/>
              <w:bottom w:val="single" w:color="auto" w:sz="4" w:space="0"/>
              <w:right w:val="single" w:color="auto" w:sz="4" w:space="0"/>
            </w:tcBorders>
            <w:vAlign w:val="center"/>
          </w:tcPr>
          <w:p w14:paraId="2A68EDCB">
            <w:pPr>
              <w:widowControl/>
              <w:jc w:val="center"/>
              <w:rPr>
                <w:rFonts w:ascii="仿宋" w:hAnsi="仿宋" w:eastAsia="仿宋"/>
                <w:kern w:val="0"/>
                <w:sz w:val="24"/>
              </w:rPr>
            </w:pPr>
            <w:r>
              <w:rPr>
                <w:rFonts w:ascii="仿宋" w:hAnsi="仿宋" w:eastAsia="仿宋"/>
                <w:kern w:val="0"/>
                <w:sz w:val="24"/>
              </w:rPr>
              <w:t>85</w:t>
            </w:r>
          </w:p>
        </w:tc>
        <w:tc>
          <w:tcPr>
            <w:tcW w:w="1394" w:type="dxa"/>
            <w:tcBorders>
              <w:top w:val="nil"/>
              <w:left w:val="nil"/>
              <w:bottom w:val="single" w:color="auto" w:sz="4" w:space="0"/>
              <w:right w:val="single" w:color="auto" w:sz="4" w:space="0"/>
            </w:tcBorders>
            <w:vAlign w:val="center"/>
          </w:tcPr>
          <w:p w14:paraId="706521A8">
            <w:pPr>
              <w:widowControl/>
              <w:jc w:val="center"/>
              <w:rPr>
                <w:rFonts w:ascii="仿宋" w:hAnsi="仿宋" w:eastAsia="仿宋" w:cs="宋体"/>
                <w:kern w:val="0"/>
                <w:sz w:val="24"/>
              </w:rPr>
            </w:pPr>
            <w:r>
              <w:rPr>
                <w:rFonts w:hint="eastAsia" w:ascii="仿宋" w:hAnsi="仿宋" w:eastAsia="仿宋" w:cs="宋体"/>
                <w:kern w:val="0"/>
                <w:sz w:val="24"/>
              </w:rPr>
              <w:t>2000</w:t>
            </w:r>
          </w:p>
        </w:tc>
        <w:tc>
          <w:tcPr>
            <w:tcW w:w="1174" w:type="dxa"/>
            <w:tcBorders>
              <w:top w:val="nil"/>
              <w:left w:val="nil"/>
              <w:bottom w:val="single" w:color="auto" w:sz="4" w:space="0"/>
              <w:right w:val="single" w:color="auto" w:sz="4" w:space="0"/>
            </w:tcBorders>
            <w:vAlign w:val="center"/>
          </w:tcPr>
          <w:p w14:paraId="4B3210CE">
            <w:pPr>
              <w:widowControl/>
              <w:jc w:val="center"/>
              <w:rPr>
                <w:rFonts w:ascii="仿宋" w:hAnsi="仿宋" w:eastAsia="仿宋" w:cs="宋体"/>
                <w:kern w:val="0"/>
                <w:sz w:val="24"/>
              </w:rPr>
            </w:pPr>
            <w:r>
              <w:rPr>
                <w:rFonts w:hint="eastAsia" w:ascii="仿宋" w:hAnsi="仿宋" w:eastAsia="仿宋" w:cs="宋体"/>
                <w:kern w:val="0"/>
                <w:sz w:val="24"/>
              </w:rPr>
              <w:t>70</w:t>
            </w:r>
          </w:p>
        </w:tc>
        <w:tc>
          <w:tcPr>
            <w:tcW w:w="1560" w:type="dxa"/>
            <w:tcBorders>
              <w:top w:val="nil"/>
              <w:left w:val="nil"/>
              <w:bottom w:val="single" w:color="auto" w:sz="4" w:space="0"/>
              <w:right w:val="single" w:color="auto" w:sz="4" w:space="0"/>
            </w:tcBorders>
            <w:vAlign w:val="center"/>
          </w:tcPr>
          <w:p w14:paraId="57859B6C">
            <w:pPr>
              <w:widowControl/>
              <w:jc w:val="center"/>
              <w:rPr>
                <w:rFonts w:ascii="仿宋" w:hAnsi="仿宋" w:eastAsia="仿宋" w:cs="宋体"/>
                <w:kern w:val="0"/>
                <w:sz w:val="24"/>
              </w:rPr>
            </w:pPr>
            <w:r>
              <w:rPr>
                <w:rFonts w:hint="eastAsia" w:ascii="仿宋" w:hAnsi="仿宋" w:eastAsia="仿宋" w:cs="宋体"/>
                <w:kern w:val="0"/>
                <w:sz w:val="24"/>
              </w:rPr>
              <w:t>2000</w:t>
            </w:r>
          </w:p>
        </w:tc>
        <w:tc>
          <w:tcPr>
            <w:tcW w:w="1487" w:type="dxa"/>
            <w:tcBorders>
              <w:top w:val="nil"/>
              <w:left w:val="nil"/>
              <w:bottom w:val="single" w:color="auto" w:sz="4" w:space="0"/>
              <w:right w:val="single" w:color="auto" w:sz="4" w:space="0"/>
            </w:tcBorders>
            <w:vAlign w:val="center"/>
          </w:tcPr>
          <w:p w14:paraId="4D07A096">
            <w:pPr>
              <w:widowControl/>
              <w:jc w:val="center"/>
              <w:rPr>
                <w:rFonts w:ascii="仿宋" w:hAnsi="仿宋" w:eastAsia="仿宋" w:cs="宋体"/>
                <w:kern w:val="0"/>
                <w:sz w:val="24"/>
              </w:rPr>
            </w:pPr>
            <w:r>
              <w:rPr>
                <w:rFonts w:hint="eastAsia" w:ascii="仿宋" w:hAnsi="仿宋" w:eastAsia="仿宋" w:cs="宋体"/>
                <w:kern w:val="0"/>
                <w:sz w:val="24"/>
              </w:rPr>
              <w:t>3年</w:t>
            </w:r>
          </w:p>
        </w:tc>
      </w:tr>
      <w:tr w14:paraId="3CCC8AF3">
        <w:tblPrEx>
          <w:tblCellMar>
            <w:top w:w="0" w:type="dxa"/>
            <w:left w:w="0" w:type="dxa"/>
            <w:bottom w:w="0" w:type="dxa"/>
            <w:right w:w="0" w:type="dxa"/>
          </w:tblCellMar>
        </w:tblPrEx>
        <w:trPr>
          <w:trHeight w:val="501" w:hRule="atLeast"/>
          <w:jc w:val="right"/>
        </w:trPr>
        <w:tc>
          <w:tcPr>
            <w:tcW w:w="755" w:type="dxa"/>
            <w:tcBorders>
              <w:top w:val="nil"/>
              <w:left w:val="single" w:color="auto" w:sz="4" w:space="0"/>
              <w:bottom w:val="single" w:color="auto" w:sz="4" w:space="0"/>
              <w:right w:val="single" w:color="auto" w:sz="4" w:space="0"/>
            </w:tcBorders>
            <w:shd w:val="clear" w:color="auto" w:fill="auto"/>
            <w:vAlign w:val="center"/>
          </w:tcPr>
          <w:p w14:paraId="02234BA4">
            <w:pPr>
              <w:widowControl/>
              <w:jc w:val="center"/>
              <w:rPr>
                <w:rFonts w:ascii="仿宋" w:hAnsi="仿宋" w:eastAsia="仿宋"/>
                <w:kern w:val="0"/>
                <w:sz w:val="24"/>
              </w:rPr>
            </w:pPr>
            <w:r>
              <w:rPr>
                <w:rFonts w:ascii="仿宋" w:hAnsi="仿宋" w:eastAsia="仿宋"/>
                <w:kern w:val="0"/>
                <w:sz w:val="24"/>
              </w:rPr>
              <w:t>52</w:t>
            </w:r>
          </w:p>
        </w:tc>
        <w:tc>
          <w:tcPr>
            <w:tcW w:w="822" w:type="dxa"/>
            <w:vMerge w:val="continue"/>
            <w:tcBorders>
              <w:left w:val="single" w:color="auto" w:sz="4" w:space="0"/>
              <w:right w:val="single" w:color="auto" w:sz="4" w:space="0"/>
            </w:tcBorders>
            <w:shd w:val="clear" w:color="auto" w:fill="auto"/>
            <w:vAlign w:val="center"/>
          </w:tcPr>
          <w:p w14:paraId="7492CCA2">
            <w:pPr>
              <w:widowControl/>
              <w:jc w:val="left"/>
              <w:rPr>
                <w:rFonts w:ascii="仿宋" w:hAnsi="仿宋" w:eastAsia="仿宋"/>
                <w:kern w:val="0"/>
                <w:sz w:val="24"/>
              </w:rPr>
            </w:pPr>
          </w:p>
        </w:tc>
        <w:tc>
          <w:tcPr>
            <w:tcW w:w="1386" w:type="dxa"/>
            <w:tcBorders>
              <w:top w:val="nil"/>
              <w:left w:val="nil"/>
              <w:bottom w:val="single" w:color="auto" w:sz="4" w:space="0"/>
              <w:right w:val="single" w:color="auto" w:sz="4" w:space="0"/>
            </w:tcBorders>
            <w:shd w:val="clear" w:color="000000" w:fill="FFFFFF"/>
            <w:vAlign w:val="center"/>
          </w:tcPr>
          <w:p w14:paraId="7EF75A23">
            <w:pPr>
              <w:widowControl/>
              <w:jc w:val="center"/>
              <w:rPr>
                <w:rFonts w:ascii="仿宋" w:hAnsi="仿宋" w:eastAsia="仿宋"/>
                <w:kern w:val="0"/>
                <w:sz w:val="24"/>
              </w:rPr>
            </w:pPr>
            <w:r>
              <w:rPr>
                <w:rFonts w:ascii="仿宋" w:hAnsi="仿宋" w:eastAsia="仿宋"/>
                <w:kern w:val="0"/>
                <w:sz w:val="24"/>
              </w:rPr>
              <w:t>M00400</w:t>
            </w:r>
          </w:p>
        </w:tc>
        <w:tc>
          <w:tcPr>
            <w:tcW w:w="3598" w:type="dxa"/>
            <w:tcBorders>
              <w:top w:val="nil"/>
              <w:left w:val="nil"/>
              <w:bottom w:val="single" w:color="auto" w:sz="4" w:space="0"/>
              <w:right w:val="single" w:color="auto" w:sz="4" w:space="0"/>
            </w:tcBorders>
            <w:shd w:val="clear" w:color="000000" w:fill="FFFFFF"/>
            <w:vAlign w:val="center"/>
          </w:tcPr>
          <w:p w14:paraId="19899B9C">
            <w:pPr>
              <w:widowControl/>
              <w:jc w:val="center"/>
              <w:rPr>
                <w:rFonts w:ascii="仿宋" w:hAnsi="仿宋" w:eastAsia="仿宋"/>
                <w:kern w:val="0"/>
                <w:sz w:val="24"/>
              </w:rPr>
            </w:pPr>
            <w:r>
              <w:rPr>
                <w:rFonts w:ascii="仿宋" w:hAnsi="仿宋" w:eastAsia="仿宋"/>
                <w:kern w:val="0"/>
                <w:sz w:val="24"/>
              </w:rPr>
              <w:t>其他传染病和寄生虫病</w:t>
            </w:r>
          </w:p>
        </w:tc>
        <w:tc>
          <w:tcPr>
            <w:tcW w:w="1180" w:type="dxa"/>
            <w:tcBorders>
              <w:top w:val="nil"/>
              <w:left w:val="nil"/>
              <w:bottom w:val="single" w:color="auto" w:sz="4" w:space="0"/>
              <w:right w:val="single" w:color="auto" w:sz="4" w:space="0"/>
            </w:tcBorders>
            <w:vAlign w:val="center"/>
          </w:tcPr>
          <w:p w14:paraId="72B5AED8">
            <w:pPr>
              <w:widowControl/>
              <w:jc w:val="center"/>
              <w:rPr>
                <w:rFonts w:ascii="仿宋" w:hAnsi="仿宋" w:eastAsia="仿宋"/>
                <w:kern w:val="0"/>
                <w:sz w:val="24"/>
              </w:rPr>
            </w:pPr>
            <w:r>
              <w:rPr>
                <w:rFonts w:ascii="仿宋" w:hAnsi="仿宋" w:eastAsia="仿宋"/>
                <w:kern w:val="0"/>
                <w:sz w:val="24"/>
              </w:rPr>
              <w:t>85</w:t>
            </w:r>
          </w:p>
        </w:tc>
        <w:tc>
          <w:tcPr>
            <w:tcW w:w="1394" w:type="dxa"/>
            <w:tcBorders>
              <w:top w:val="nil"/>
              <w:left w:val="nil"/>
              <w:bottom w:val="single" w:color="auto" w:sz="4" w:space="0"/>
              <w:right w:val="single" w:color="auto" w:sz="4" w:space="0"/>
            </w:tcBorders>
            <w:vAlign w:val="center"/>
          </w:tcPr>
          <w:p w14:paraId="6F2E3D9B">
            <w:pPr>
              <w:widowControl/>
              <w:jc w:val="center"/>
              <w:rPr>
                <w:rFonts w:ascii="仿宋" w:hAnsi="仿宋" w:eastAsia="仿宋" w:cs="宋体"/>
                <w:kern w:val="0"/>
                <w:sz w:val="24"/>
              </w:rPr>
            </w:pPr>
            <w:r>
              <w:rPr>
                <w:rFonts w:hint="eastAsia" w:ascii="仿宋" w:hAnsi="仿宋" w:eastAsia="仿宋" w:cs="宋体"/>
                <w:kern w:val="0"/>
                <w:sz w:val="24"/>
              </w:rPr>
              <w:t>2000</w:t>
            </w:r>
          </w:p>
        </w:tc>
        <w:tc>
          <w:tcPr>
            <w:tcW w:w="1174" w:type="dxa"/>
            <w:tcBorders>
              <w:top w:val="nil"/>
              <w:left w:val="nil"/>
              <w:bottom w:val="single" w:color="auto" w:sz="4" w:space="0"/>
              <w:right w:val="single" w:color="auto" w:sz="4" w:space="0"/>
            </w:tcBorders>
            <w:vAlign w:val="center"/>
          </w:tcPr>
          <w:p w14:paraId="0E901069">
            <w:pPr>
              <w:widowControl/>
              <w:jc w:val="center"/>
              <w:rPr>
                <w:rFonts w:ascii="仿宋" w:hAnsi="仿宋" w:eastAsia="仿宋" w:cs="宋体"/>
                <w:kern w:val="0"/>
                <w:sz w:val="24"/>
              </w:rPr>
            </w:pPr>
            <w:r>
              <w:rPr>
                <w:rFonts w:hint="eastAsia" w:ascii="仿宋" w:hAnsi="仿宋" w:eastAsia="仿宋" w:cs="宋体"/>
                <w:kern w:val="0"/>
                <w:sz w:val="24"/>
              </w:rPr>
              <w:t>70</w:t>
            </w:r>
          </w:p>
        </w:tc>
        <w:tc>
          <w:tcPr>
            <w:tcW w:w="1560" w:type="dxa"/>
            <w:tcBorders>
              <w:top w:val="nil"/>
              <w:left w:val="nil"/>
              <w:bottom w:val="single" w:color="auto" w:sz="4" w:space="0"/>
              <w:right w:val="single" w:color="auto" w:sz="4" w:space="0"/>
            </w:tcBorders>
            <w:vAlign w:val="center"/>
          </w:tcPr>
          <w:p w14:paraId="14227513">
            <w:pPr>
              <w:widowControl/>
              <w:jc w:val="center"/>
              <w:rPr>
                <w:rFonts w:ascii="仿宋" w:hAnsi="仿宋" w:eastAsia="仿宋" w:cs="宋体"/>
                <w:kern w:val="0"/>
                <w:sz w:val="24"/>
              </w:rPr>
            </w:pPr>
            <w:r>
              <w:rPr>
                <w:rFonts w:hint="eastAsia" w:ascii="仿宋" w:hAnsi="仿宋" w:eastAsia="仿宋" w:cs="宋体"/>
                <w:kern w:val="0"/>
                <w:sz w:val="24"/>
              </w:rPr>
              <w:t>2000</w:t>
            </w:r>
          </w:p>
        </w:tc>
        <w:tc>
          <w:tcPr>
            <w:tcW w:w="1487" w:type="dxa"/>
            <w:tcBorders>
              <w:top w:val="nil"/>
              <w:left w:val="nil"/>
              <w:bottom w:val="single" w:color="auto" w:sz="4" w:space="0"/>
              <w:right w:val="single" w:color="auto" w:sz="4" w:space="0"/>
            </w:tcBorders>
            <w:vAlign w:val="center"/>
          </w:tcPr>
          <w:p w14:paraId="4FB117AC">
            <w:pPr>
              <w:widowControl/>
              <w:jc w:val="center"/>
              <w:rPr>
                <w:rFonts w:ascii="仿宋" w:hAnsi="仿宋" w:eastAsia="仿宋" w:cs="宋体"/>
                <w:kern w:val="0"/>
                <w:sz w:val="24"/>
              </w:rPr>
            </w:pPr>
            <w:r>
              <w:rPr>
                <w:rFonts w:hint="eastAsia" w:ascii="仿宋" w:hAnsi="仿宋" w:eastAsia="仿宋" w:cs="宋体"/>
                <w:kern w:val="0"/>
                <w:sz w:val="24"/>
              </w:rPr>
              <w:t>3年</w:t>
            </w:r>
          </w:p>
        </w:tc>
      </w:tr>
      <w:tr w14:paraId="419D5A0D">
        <w:tblPrEx>
          <w:tblCellMar>
            <w:top w:w="0" w:type="dxa"/>
            <w:left w:w="0" w:type="dxa"/>
            <w:bottom w:w="0" w:type="dxa"/>
            <w:right w:w="0" w:type="dxa"/>
          </w:tblCellMar>
        </w:tblPrEx>
        <w:trPr>
          <w:trHeight w:val="501" w:hRule="atLeast"/>
          <w:jc w:val="right"/>
        </w:trPr>
        <w:tc>
          <w:tcPr>
            <w:tcW w:w="755" w:type="dxa"/>
            <w:tcBorders>
              <w:top w:val="nil"/>
              <w:left w:val="single" w:color="auto" w:sz="4" w:space="0"/>
              <w:bottom w:val="single" w:color="auto" w:sz="4" w:space="0"/>
              <w:right w:val="single" w:color="auto" w:sz="4" w:space="0"/>
            </w:tcBorders>
            <w:shd w:val="clear" w:color="auto" w:fill="auto"/>
            <w:vAlign w:val="center"/>
          </w:tcPr>
          <w:p w14:paraId="4F63FFB0">
            <w:pPr>
              <w:widowControl/>
              <w:jc w:val="center"/>
              <w:rPr>
                <w:rFonts w:ascii="仿宋" w:hAnsi="仿宋" w:eastAsia="仿宋"/>
                <w:kern w:val="0"/>
                <w:sz w:val="24"/>
              </w:rPr>
            </w:pPr>
            <w:r>
              <w:rPr>
                <w:rFonts w:ascii="仿宋" w:hAnsi="仿宋" w:eastAsia="仿宋"/>
                <w:kern w:val="0"/>
                <w:sz w:val="24"/>
              </w:rPr>
              <w:t>53</w:t>
            </w:r>
          </w:p>
        </w:tc>
        <w:tc>
          <w:tcPr>
            <w:tcW w:w="822" w:type="dxa"/>
            <w:vMerge w:val="continue"/>
            <w:tcBorders>
              <w:left w:val="single" w:color="auto" w:sz="4" w:space="0"/>
              <w:bottom w:val="single" w:color="000000" w:sz="4" w:space="0"/>
              <w:right w:val="single" w:color="auto" w:sz="4" w:space="0"/>
            </w:tcBorders>
            <w:shd w:val="clear" w:color="auto" w:fill="auto"/>
            <w:vAlign w:val="center"/>
          </w:tcPr>
          <w:p w14:paraId="342BF339">
            <w:pPr>
              <w:widowControl/>
              <w:jc w:val="left"/>
              <w:rPr>
                <w:rFonts w:ascii="仿宋" w:hAnsi="仿宋" w:eastAsia="仿宋"/>
                <w:kern w:val="0"/>
                <w:sz w:val="24"/>
              </w:rPr>
            </w:pPr>
          </w:p>
        </w:tc>
        <w:tc>
          <w:tcPr>
            <w:tcW w:w="1386" w:type="dxa"/>
            <w:tcBorders>
              <w:top w:val="nil"/>
              <w:left w:val="nil"/>
              <w:bottom w:val="single" w:color="auto" w:sz="4" w:space="0"/>
              <w:right w:val="single" w:color="auto" w:sz="4" w:space="0"/>
            </w:tcBorders>
            <w:shd w:val="clear" w:color="000000" w:fill="FFFFFF"/>
            <w:vAlign w:val="center"/>
          </w:tcPr>
          <w:p w14:paraId="6F9348FE">
            <w:pPr>
              <w:widowControl/>
              <w:jc w:val="center"/>
              <w:rPr>
                <w:rFonts w:ascii="仿宋" w:hAnsi="仿宋" w:eastAsia="仿宋"/>
                <w:kern w:val="0"/>
                <w:sz w:val="24"/>
              </w:rPr>
            </w:pPr>
            <w:r>
              <w:rPr>
                <w:rFonts w:ascii="仿宋" w:hAnsi="仿宋" w:eastAsia="仿宋"/>
                <w:kern w:val="0"/>
                <w:sz w:val="24"/>
              </w:rPr>
              <w:t>M11101</w:t>
            </w:r>
          </w:p>
        </w:tc>
        <w:tc>
          <w:tcPr>
            <w:tcW w:w="3598" w:type="dxa"/>
            <w:tcBorders>
              <w:top w:val="nil"/>
              <w:left w:val="nil"/>
              <w:bottom w:val="single" w:color="auto" w:sz="4" w:space="0"/>
              <w:right w:val="single" w:color="auto" w:sz="4" w:space="0"/>
            </w:tcBorders>
            <w:shd w:val="clear" w:color="000000" w:fill="FFFFFF"/>
            <w:vAlign w:val="center"/>
          </w:tcPr>
          <w:p w14:paraId="04AFF576">
            <w:pPr>
              <w:widowControl/>
              <w:jc w:val="center"/>
              <w:rPr>
                <w:rFonts w:ascii="仿宋" w:hAnsi="仿宋" w:eastAsia="仿宋"/>
                <w:kern w:val="0"/>
                <w:sz w:val="24"/>
              </w:rPr>
            </w:pPr>
            <w:r>
              <w:rPr>
                <w:rFonts w:ascii="仿宋" w:hAnsi="仿宋" w:eastAsia="仿宋"/>
                <w:kern w:val="0"/>
                <w:sz w:val="24"/>
              </w:rPr>
              <w:t>砷中毒</w:t>
            </w:r>
          </w:p>
        </w:tc>
        <w:tc>
          <w:tcPr>
            <w:tcW w:w="1180" w:type="dxa"/>
            <w:tcBorders>
              <w:top w:val="nil"/>
              <w:left w:val="nil"/>
              <w:bottom w:val="single" w:color="auto" w:sz="4" w:space="0"/>
              <w:right w:val="single" w:color="auto" w:sz="4" w:space="0"/>
            </w:tcBorders>
            <w:vAlign w:val="center"/>
          </w:tcPr>
          <w:p w14:paraId="6A4A597C">
            <w:pPr>
              <w:widowControl/>
              <w:jc w:val="center"/>
              <w:rPr>
                <w:rFonts w:ascii="仿宋" w:hAnsi="仿宋" w:eastAsia="仿宋"/>
                <w:kern w:val="0"/>
                <w:sz w:val="24"/>
              </w:rPr>
            </w:pPr>
            <w:r>
              <w:rPr>
                <w:rFonts w:ascii="仿宋" w:hAnsi="仿宋" w:eastAsia="仿宋"/>
                <w:kern w:val="0"/>
                <w:sz w:val="24"/>
              </w:rPr>
              <w:t>85</w:t>
            </w:r>
          </w:p>
        </w:tc>
        <w:tc>
          <w:tcPr>
            <w:tcW w:w="1394" w:type="dxa"/>
            <w:tcBorders>
              <w:top w:val="nil"/>
              <w:left w:val="nil"/>
              <w:bottom w:val="single" w:color="auto" w:sz="4" w:space="0"/>
              <w:right w:val="single" w:color="auto" w:sz="4" w:space="0"/>
            </w:tcBorders>
            <w:vAlign w:val="center"/>
          </w:tcPr>
          <w:p w14:paraId="36C29CA6">
            <w:pPr>
              <w:widowControl/>
              <w:jc w:val="center"/>
              <w:rPr>
                <w:rFonts w:ascii="仿宋" w:hAnsi="仿宋" w:eastAsia="仿宋" w:cs="宋体"/>
                <w:kern w:val="0"/>
                <w:sz w:val="24"/>
              </w:rPr>
            </w:pPr>
            <w:r>
              <w:rPr>
                <w:rFonts w:hint="eastAsia" w:ascii="仿宋" w:hAnsi="仿宋" w:eastAsia="仿宋" w:cs="宋体"/>
                <w:kern w:val="0"/>
                <w:sz w:val="24"/>
              </w:rPr>
              <w:t>2000</w:t>
            </w:r>
          </w:p>
        </w:tc>
        <w:tc>
          <w:tcPr>
            <w:tcW w:w="1174" w:type="dxa"/>
            <w:tcBorders>
              <w:top w:val="nil"/>
              <w:left w:val="nil"/>
              <w:bottom w:val="single" w:color="auto" w:sz="4" w:space="0"/>
              <w:right w:val="single" w:color="auto" w:sz="4" w:space="0"/>
            </w:tcBorders>
            <w:vAlign w:val="center"/>
          </w:tcPr>
          <w:p w14:paraId="5009D898">
            <w:pPr>
              <w:widowControl/>
              <w:jc w:val="center"/>
              <w:rPr>
                <w:rFonts w:ascii="仿宋" w:hAnsi="仿宋" w:eastAsia="仿宋" w:cs="宋体"/>
                <w:kern w:val="0"/>
                <w:sz w:val="24"/>
              </w:rPr>
            </w:pPr>
            <w:r>
              <w:rPr>
                <w:rFonts w:hint="eastAsia" w:ascii="仿宋" w:hAnsi="仿宋" w:eastAsia="仿宋" w:cs="宋体"/>
                <w:kern w:val="0"/>
                <w:sz w:val="24"/>
              </w:rPr>
              <w:t>70</w:t>
            </w:r>
          </w:p>
        </w:tc>
        <w:tc>
          <w:tcPr>
            <w:tcW w:w="1560" w:type="dxa"/>
            <w:tcBorders>
              <w:top w:val="nil"/>
              <w:left w:val="nil"/>
              <w:bottom w:val="single" w:color="auto" w:sz="4" w:space="0"/>
              <w:right w:val="single" w:color="auto" w:sz="4" w:space="0"/>
            </w:tcBorders>
            <w:vAlign w:val="center"/>
          </w:tcPr>
          <w:p w14:paraId="46FE0023">
            <w:pPr>
              <w:widowControl/>
              <w:jc w:val="center"/>
              <w:rPr>
                <w:rFonts w:ascii="仿宋" w:hAnsi="仿宋" w:eastAsia="仿宋" w:cs="宋体"/>
                <w:kern w:val="0"/>
                <w:sz w:val="24"/>
              </w:rPr>
            </w:pPr>
            <w:r>
              <w:rPr>
                <w:rFonts w:hint="eastAsia" w:ascii="仿宋" w:hAnsi="仿宋" w:eastAsia="仿宋" w:cs="宋体"/>
                <w:kern w:val="0"/>
                <w:sz w:val="24"/>
              </w:rPr>
              <w:t>2000</w:t>
            </w:r>
          </w:p>
        </w:tc>
        <w:tc>
          <w:tcPr>
            <w:tcW w:w="1487" w:type="dxa"/>
            <w:tcBorders>
              <w:top w:val="nil"/>
              <w:left w:val="nil"/>
              <w:bottom w:val="single" w:color="auto" w:sz="4" w:space="0"/>
              <w:right w:val="single" w:color="auto" w:sz="4" w:space="0"/>
            </w:tcBorders>
            <w:vAlign w:val="center"/>
          </w:tcPr>
          <w:p w14:paraId="5F226CD1">
            <w:pPr>
              <w:widowControl/>
              <w:jc w:val="center"/>
              <w:rPr>
                <w:rFonts w:ascii="仿宋" w:hAnsi="仿宋" w:eastAsia="仿宋" w:cs="宋体"/>
                <w:kern w:val="0"/>
                <w:sz w:val="24"/>
              </w:rPr>
            </w:pPr>
            <w:r>
              <w:rPr>
                <w:rFonts w:hint="eastAsia" w:ascii="仿宋" w:hAnsi="仿宋" w:eastAsia="仿宋" w:cs="宋体"/>
                <w:kern w:val="0"/>
                <w:sz w:val="24"/>
              </w:rPr>
              <w:t>3年</w:t>
            </w:r>
          </w:p>
        </w:tc>
      </w:tr>
      <w:tr w14:paraId="6E526A86">
        <w:tblPrEx>
          <w:tblCellMar>
            <w:top w:w="0" w:type="dxa"/>
            <w:left w:w="0" w:type="dxa"/>
            <w:bottom w:w="0" w:type="dxa"/>
            <w:right w:w="0" w:type="dxa"/>
          </w:tblCellMar>
        </w:tblPrEx>
        <w:trPr>
          <w:trHeight w:val="501" w:hRule="atLeast"/>
          <w:jc w:val="right"/>
        </w:trPr>
        <w:tc>
          <w:tcPr>
            <w:tcW w:w="755" w:type="dxa"/>
            <w:tcBorders>
              <w:top w:val="nil"/>
              <w:left w:val="single" w:color="auto" w:sz="4" w:space="0"/>
              <w:bottom w:val="single" w:color="auto" w:sz="4" w:space="0"/>
              <w:right w:val="single" w:color="auto" w:sz="4" w:space="0"/>
            </w:tcBorders>
            <w:shd w:val="clear" w:color="auto" w:fill="auto"/>
            <w:vAlign w:val="center"/>
          </w:tcPr>
          <w:p w14:paraId="66E05119">
            <w:pPr>
              <w:widowControl/>
              <w:jc w:val="center"/>
              <w:rPr>
                <w:rFonts w:ascii="仿宋" w:hAnsi="仿宋" w:eastAsia="仿宋"/>
                <w:kern w:val="0"/>
                <w:sz w:val="24"/>
              </w:rPr>
            </w:pPr>
            <w:r>
              <w:rPr>
                <w:rFonts w:ascii="仿宋" w:hAnsi="仿宋" w:eastAsia="仿宋"/>
                <w:kern w:val="0"/>
                <w:sz w:val="24"/>
              </w:rPr>
              <w:t>54</w:t>
            </w:r>
          </w:p>
        </w:tc>
        <w:tc>
          <w:tcPr>
            <w:tcW w:w="822" w:type="dxa"/>
            <w:tcBorders>
              <w:top w:val="nil"/>
              <w:left w:val="single" w:color="auto" w:sz="4" w:space="0"/>
              <w:bottom w:val="single" w:color="auto" w:sz="4" w:space="0"/>
              <w:right w:val="single" w:color="auto" w:sz="4" w:space="0"/>
            </w:tcBorders>
            <w:shd w:val="clear" w:color="auto" w:fill="auto"/>
            <w:vAlign w:val="center"/>
          </w:tcPr>
          <w:p w14:paraId="53DA4C71">
            <w:pPr>
              <w:widowControl/>
              <w:jc w:val="center"/>
              <w:rPr>
                <w:rFonts w:ascii="仿宋" w:hAnsi="仿宋" w:eastAsia="仿宋"/>
                <w:kern w:val="0"/>
                <w:sz w:val="24"/>
              </w:rPr>
            </w:pPr>
            <w:r>
              <w:rPr>
                <w:rFonts w:hint="eastAsia" w:ascii="仿宋" w:hAnsi="仿宋" w:eastAsia="仿宋" w:cs="宋体"/>
                <w:kern w:val="0"/>
                <w:sz w:val="24"/>
              </w:rPr>
              <w:t>Ⅱ</w:t>
            </w:r>
            <w:r>
              <w:rPr>
                <w:rFonts w:ascii="仿宋" w:hAnsi="仿宋" w:eastAsia="仿宋"/>
                <w:kern w:val="0"/>
                <w:sz w:val="24"/>
              </w:rPr>
              <w:t>类</w:t>
            </w:r>
          </w:p>
        </w:tc>
        <w:tc>
          <w:tcPr>
            <w:tcW w:w="1386" w:type="dxa"/>
            <w:tcBorders>
              <w:top w:val="nil"/>
              <w:left w:val="nil"/>
              <w:bottom w:val="single" w:color="auto" w:sz="4" w:space="0"/>
              <w:right w:val="single" w:color="auto" w:sz="4" w:space="0"/>
            </w:tcBorders>
            <w:shd w:val="clear" w:color="000000" w:fill="FFFFFF"/>
            <w:vAlign w:val="center"/>
          </w:tcPr>
          <w:p w14:paraId="1ED64F71">
            <w:pPr>
              <w:widowControl/>
              <w:jc w:val="center"/>
              <w:rPr>
                <w:rFonts w:ascii="仿宋" w:hAnsi="仿宋" w:eastAsia="仿宋"/>
                <w:kern w:val="0"/>
                <w:sz w:val="24"/>
              </w:rPr>
            </w:pPr>
            <w:r>
              <w:rPr>
                <w:rFonts w:ascii="仿宋" w:hAnsi="仿宋" w:eastAsia="仿宋"/>
                <w:kern w:val="0"/>
                <w:sz w:val="24"/>
              </w:rPr>
              <w:t>M08001</w:t>
            </w:r>
          </w:p>
        </w:tc>
        <w:tc>
          <w:tcPr>
            <w:tcW w:w="3598" w:type="dxa"/>
            <w:tcBorders>
              <w:top w:val="nil"/>
              <w:left w:val="nil"/>
              <w:bottom w:val="single" w:color="auto" w:sz="4" w:space="0"/>
              <w:right w:val="single" w:color="auto" w:sz="4" w:space="0"/>
            </w:tcBorders>
            <w:shd w:val="clear" w:color="000000" w:fill="FFFFFF"/>
            <w:vAlign w:val="center"/>
          </w:tcPr>
          <w:p w14:paraId="13C7E373">
            <w:pPr>
              <w:widowControl/>
              <w:jc w:val="center"/>
              <w:rPr>
                <w:rFonts w:ascii="仿宋" w:hAnsi="仿宋" w:eastAsia="仿宋"/>
                <w:kern w:val="0"/>
                <w:sz w:val="24"/>
              </w:rPr>
            </w:pPr>
            <w:r>
              <w:rPr>
                <w:rFonts w:ascii="仿宋" w:hAnsi="仿宋" w:eastAsia="仿宋"/>
                <w:kern w:val="0"/>
                <w:sz w:val="24"/>
              </w:rPr>
              <w:t>女性盆腔炎</w:t>
            </w:r>
          </w:p>
        </w:tc>
        <w:tc>
          <w:tcPr>
            <w:tcW w:w="1180" w:type="dxa"/>
            <w:tcBorders>
              <w:top w:val="nil"/>
              <w:left w:val="nil"/>
              <w:bottom w:val="single" w:color="auto" w:sz="4" w:space="0"/>
              <w:right w:val="single" w:color="auto" w:sz="4" w:space="0"/>
            </w:tcBorders>
            <w:shd w:val="clear" w:color="auto" w:fill="auto"/>
            <w:vAlign w:val="center"/>
          </w:tcPr>
          <w:p w14:paraId="4D8925E9">
            <w:pPr>
              <w:widowControl/>
              <w:jc w:val="center"/>
              <w:rPr>
                <w:rFonts w:ascii="仿宋" w:hAnsi="仿宋" w:eastAsia="仿宋"/>
                <w:kern w:val="0"/>
                <w:sz w:val="24"/>
              </w:rPr>
            </w:pPr>
            <w:r>
              <w:rPr>
                <w:rFonts w:ascii="仿宋" w:hAnsi="仿宋" w:eastAsia="仿宋"/>
                <w:kern w:val="0"/>
                <w:sz w:val="24"/>
              </w:rPr>
              <w:t>85</w:t>
            </w:r>
          </w:p>
        </w:tc>
        <w:tc>
          <w:tcPr>
            <w:tcW w:w="1394" w:type="dxa"/>
            <w:tcBorders>
              <w:top w:val="nil"/>
              <w:left w:val="nil"/>
              <w:bottom w:val="single" w:color="auto" w:sz="4" w:space="0"/>
              <w:right w:val="single" w:color="auto" w:sz="4" w:space="0"/>
            </w:tcBorders>
            <w:shd w:val="clear" w:color="auto" w:fill="auto"/>
            <w:vAlign w:val="center"/>
          </w:tcPr>
          <w:p w14:paraId="5D852577">
            <w:pPr>
              <w:widowControl/>
              <w:jc w:val="center"/>
              <w:rPr>
                <w:rFonts w:ascii="仿宋" w:hAnsi="仿宋" w:eastAsia="仿宋" w:cs="宋体"/>
                <w:kern w:val="0"/>
                <w:sz w:val="24"/>
              </w:rPr>
            </w:pPr>
            <w:r>
              <w:rPr>
                <w:rFonts w:hint="eastAsia" w:ascii="仿宋" w:hAnsi="仿宋" w:eastAsia="仿宋" w:cs="宋体"/>
                <w:kern w:val="0"/>
                <w:sz w:val="24"/>
              </w:rPr>
              <w:t>3000</w:t>
            </w:r>
          </w:p>
        </w:tc>
        <w:tc>
          <w:tcPr>
            <w:tcW w:w="1174" w:type="dxa"/>
            <w:tcBorders>
              <w:top w:val="nil"/>
              <w:left w:val="nil"/>
              <w:bottom w:val="single" w:color="auto" w:sz="4" w:space="0"/>
              <w:right w:val="single" w:color="auto" w:sz="4" w:space="0"/>
            </w:tcBorders>
            <w:shd w:val="clear" w:color="auto" w:fill="auto"/>
            <w:vAlign w:val="center"/>
          </w:tcPr>
          <w:p w14:paraId="360E2307">
            <w:pPr>
              <w:widowControl/>
              <w:jc w:val="center"/>
              <w:rPr>
                <w:rFonts w:ascii="仿宋" w:hAnsi="仿宋" w:eastAsia="仿宋" w:cs="宋体"/>
                <w:kern w:val="0"/>
                <w:sz w:val="24"/>
              </w:rPr>
            </w:pPr>
            <w:r>
              <w:rPr>
                <w:rFonts w:hint="eastAsia" w:ascii="仿宋" w:hAnsi="仿宋" w:eastAsia="仿宋" w:cs="宋体"/>
                <w:kern w:val="0"/>
                <w:sz w:val="24"/>
              </w:rPr>
              <w:t>70</w:t>
            </w:r>
          </w:p>
        </w:tc>
        <w:tc>
          <w:tcPr>
            <w:tcW w:w="1560" w:type="dxa"/>
            <w:tcBorders>
              <w:top w:val="nil"/>
              <w:left w:val="nil"/>
              <w:bottom w:val="single" w:color="auto" w:sz="4" w:space="0"/>
              <w:right w:val="single" w:color="auto" w:sz="4" w:space="0"/>
            </w:tcBorders>
            <w:shd w:val="clear" w:color="auto" w:fill="auto"/>
            <w:vAlign w:val="center"/>
          </w:tcPr>
          <w:p w14:paraId="684327FF">
            <w:pPr>
              <w:widowControl/>
              <w:jc w:val="center"/>
              <w:rPr>
                <w:rFonts w:ascii="仿宋" w:hAnsi="仿宋" w:eastAsia="仿宋" w:cs="宋体"/>
                <w:kern w:val="0"/>
                <w:sz w:val="24"/>
              </w:rPr>
            </w:pPr>
            <w:r>
              <w:rPr>
                <w:rFonts w:hint="eastAsia" w:ascii="仿宋" w:hAnsi="仿宋" w:eastAsia="仿宋" w:cs="宋体"/>
                <w:kern w:val="0"/>
                <w:sz w:val="24"/>
              </w:rPr>
              <w:t>3000</w:t>
            </w:r>
          </w:p>
        </w:tc>
        <w:tc>
          <w:tcPr>
            <w:tcW w:w="1487" w:type="dxa"/>
            <w:tcBorders>
              <w:top w:val="nil"/>
              <w:left w:val="nil"/>
              <w:bottom w:val="single" w:color="auto" w:sz="4" w:space="0"/>
              <w:right w:val="single" w:color="auto" w:sz="4" w:space="0"/>
            </w:tcBorders>
            <w:vAlign w:val="center"/>
          </w:tcPr>
          <w:p w14:paraId="516A1F3B">
            <w:pPr>
              <w:widowControl/>
              <w:jc w:val="center"/>
              <w:rPr>
                <w:rFonts w:ascii="仿宋" w:hAnsi="仿宋" w:eastAsia="仿宋" w:cs="宋体"/>
                <w:kern w:val="0"/>
                <w:sz w:val="24"/>
              </w:rPr>
            </w:pPr>
            <w:r>
              <w:rPr>
                <w:rFonts w:hint="eastAsia" w:ascii="仿宋" w:hAnsi="仿宋" w:eastAsia="仿宋" w:cs="宋体"/>
                <w:kern w:val="0"/>
                <w:sz w:val="24"/>
              </w:rPr>
              <w:t>2年</w:t>
            </w:r>
          </w:p>
        </w:tc>
      </w:tr>
      <w:tr w14:paraId="5749396D">
        <w:tblPrEx>
          <w:tblCellMar>
            <w:top w:w="0" w:type="dxa"/>
            <w:left w:w="0" w:type="dxa"/>
            <w:bottom w:w="0" w:type="dxa"/>
            <w:right w:w="0" w:type="dxa"/>
          </w:tblCellMar>
        </w:tblPrEx>
        <w:trPr>
          <w:trHeight w:val="499" w:hRule="atLeast"/>
          <w:jc w:val="right"/>
        </w:trPr>
        <w:tc>
          <w:tcPr>
            <w:tcW w:w="755" w:type="dxa"/>
            <w:tcBorders>
              <w:top w:val="single" w:color="auto" w:sz="4" w:space="0"/>
              <w:left w:val="single" w:color="auto" w:sz="4" w:space="0"/>
              <w:bottom w:val="single" w:color="auto" w:sz="4" w:space="0"/>
              <w:right w:val="single" w:color="auto" w:sz="4" w:space="0"/>
            </w:tcBorders>
            <w:shd w:val="clear" w:color="auto" w:fill="auto"/>
            <w:vAlign w:val="center"/>
          </w:tcPr>
          <w:p w14:paraId="05CFDC97">
            <w:pPr>
              <w:widowControl/>
              <w:jc w:val="center"/>
              <w:rPr>
                <w:rFonts w:ascii="仿宋" w:hAnsi="仿宋" w:eastAsia="仿宋"/>
                <w:kern w:val="0"/>
                <w:sz w:val="24"/>
              </w:rPr>
            </w:pPr>
            <w:r>
              <w:rPr>
                <w:rFonts w:hint="eastAsia" w:ascii="仿宋" w:hAnsi="仿宋" w:eastAsia="仿宋"/>
                <w:kern w:val="0"/>
                <w:sz w:val="24"/>
              </w:rPr>
              <w:t>55</w:t>
            </w:r>
          </w:p>
        </w:tc>
        <w:tc>
          <w:tcPr>
            <w:tcW w:w="82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20691BA8">
            <w:pPr>
              <w:jc w:val="center"/>
              <w:rPr>
                <w:rFonts w:hint="eastAsia" w:ascii="仿宋" w:hAnsi="仿宋" w:eastAsia="仿宋" w:cs="宋体"/>
                <w:kern w:val="0"/>
                <w:sz w:val="24"/>
              </w:rPr>
            </w:pPr>
          </w:p>
          <w:p w14:paraId="698658CE">
            <w:pPr>
              <w:ind w:firstLine="240" w:firstLineChars="100"/>
              <w:jc w:val="both"/>
              <w:rPr>
                <w:rFonts w:hint="eastAsia" w:ascii="仿宋" w:hAnsi="仿宋" w:eastAsia="仿宋" w:cs="宋体"/>
                <w:kern w:val="0"/>
                <w:sz w:val="24"/>
              </w:rPr>
            </w:pPr>
            <w:r>
              <w:rPr>
                <w:rFonts w:hint="eastAsia" w:ascii="仿宋" w:hAnsi="仿宋" w:eastAsia="仿宋" w:cs="宋体"/>
                <w:kern w:val="0"/>
                <w:sz w:val="24"/>
              </w:rPr>
              <w:t>Ⅰ类</w:t>
            </w:r>
          </w:p>
          <w:p w14:paraId="0DCB6A01">
            <w:pPr>
              <w:jc w:val="center"/>
              <w:rPr>
                <w:rFonts w:hint="eastAsia" w:ascii="仿宋" w:hAnsi="仿宋" w:eastAsia="仿宋" w:cs="宋体"/>
                <w:kern w:val="0"/>
                <w:sz w:val="24"/>
              </w:rPr>
            </w:pPr>
          </w:p>
          <w:p w14:paraId="3E9F1EA8">
            <w:pPr>
              <w:jc w:val="center"/>
              <w:rPr>
                <w:rFonts w:hint="eastAsia" w:ascii="仿宋" w:hAnsi="仿宋" w:eastAsia="仿宋" w:cs="宋体"/>
                <w:kern w:val="0"/>
                <w:sz w:val="24"/>
              </w:rPr>
            </w:pPr>
          </w:p>
          <w:p w14:paraId="7B4914FA">
            <w:pPr>
              <w:jc w:val="center"/>
              <w:rPr>
                <w:rFonts w:hint="eastAsia" w:ascii="仿宋" w:hAnsi="仿宋" w:eastAsia="仿宋" w:cs="宋体"/>
                <w:kern w:val="0"/>
                <w:sz w:val="24"/>
              </w:rPr>
            </w:pPr>
          </w:p>
          <w:p w14:paraId="7723AD90">
            <w:pPr>
              <w:jc w:val="center"/>
              <w:rPr>
                <w:rFonts w:hint="eastAsia" w:ascii="仿宋" w:hAnsi="仿宋" w:eastAsia="仿宋" w:cs="宋体"/>
                <w:kern w:val="0"/>
                <w:sz w:val="24"/>
              </w:rPr>
            </w:pPr>
          </w:p>
          <w:p w14:paraId="52EB9174">
            <w:pPr>
              <w:jc w:val="center"/>
              <w:rPr>
                <w:rFonts w:ascii="仿宋" w:hAnsi="仿宋" w:eastAsia="仿宋" w:cs="宋体"/>
                <w:kern w:val="0"/>
                <w:sz w:val="24"/>
              </w:rPr>
            </w:pPr>
            <w:r>
              <w:rPr>
                <w:rFonts w:hint="eastAsia" w:ascii="仿宋" w:hAnsi="仿宋" w:eastAsia="仿宋" w:cs="宋体"/>
                <w:kern w:val="0"/>
                <w:sz w:val="24"/>
              </w:rPr>
              <w:t>Ⅰ类</w:t>
            </w:r>
          </w:p>
          <w:p w14:paraId="6C280CF4">
            <w:pPr>
              <w:pStyle w:val="3"/>
              <w:jc w:val="center"/>
              <w:rPr>
                <w:rFonts w:ascii="仿宋" w:hAnsi="仿宋" w:eastAsia="仿宋" w:cs="宋体"/>
                <w:kern w:val="0"/>
                <w:sz w:val="24"/>
              </w:rPr>
            </w:pPr>
          </w:p>
        </w:tc>
        <w:tc>
          <w:tcPr>
            <w:tcW w:w="1386" w:type="dxa"/>
            <w:tcBorders>
              <w:top w:val="single" w:color="auto" w:sz="4" w:space="0"/>
              <w:left w:val="single" w:color="auto" w:sz="4" w:space="0"/>
              <w:bottom w:val="single" w:color="auto" w:sz="4" w:space="0"/>
              <w:right w:val="single" w:color="auto" w:sz="4" w:space="0"/>
            </w:tcBorders>
            <w:shd w:val="clear" w:color="000000" w:fill="FFFFFF"/>
            <w:vAlign w:val="center"/>
          </w:tcPr>
          <w:p w14:paraId="0EFE71D0">
            <w:pPr>
              <w:widowControl/>
              <w:jc w:val="center"/>
              <w:rPr>
                <w:rFonts w:ascii="仿宋" w:hAnsi="仿宋" w:eastAsia="仿宋"/>
                <w:kern w:val="0"/>
                <w:sz w:val="24"/>
              </w:rPr>
            </w:pPr>
            <w:r>
              <w:rPr>
                <w:rFonts w:ascii="仿宋" w:hAnsi="仿宋" w:eastAsia="仿宋"/>
                <w:kern w:val="0"/>
                <w:sz w:val="24"/>
              </w:rPr>
              <w:t>M07101</w:t>
            </w:r>
          </w:p>
        </w:tc>
        <w:tc>
          <w:tcPr>
            <w:tcW w:w="3598" w:type="dxa"/>
            <w:tcBorders>
              <w:top w:val="nil"/>
              <w:left w:val="nil"/>
              <w:bottom w:val="single" w:color="auto" w:sz="4" w:space="0"/>
              <w:right w:val="single" w:color="auto" w:sz="4" w:space="0"/>
            </w:tcBorders>
            <w:shd w:val="clear" w:color="000000" w:fill="FFFFFF"/>
            <w:vAlign w:val="center"/>
          </w:tcPr>
          <w:p w14:paraId="23C65808">
            <w:pPr>
              <w:widowControl/>
              <w:jc w:val="center"/>
              <w:rPr>
                <w:rFonts w:ascii="仿宋" w:hAnsi="仿宋" w:eastAsia="仿宋"/>
                <w:kern w:val="0"/>
                <w:sz w:val="24"/>
              </w:rPr>
            </w:pPr>
            <w:r>
              <w:rPr>
                <w:rFonts w:ascii="仿宋" w:hAnsi="仿宋" w:eastAsia="仿宋"/>
                <w:kern w:val="0"/>
                <w:sz w:val="24"/>
              </w:rPr>
              <w:t>系统性红斑狼疮</w:t>
            </w:r>
          </w:p>
        </w:tc>
        <w:tc>
          <w:tcPr>
            <w:tcW w:w="1180" w:type="dxa"/>
            <w:tcBorders>
              <w:top w:val="nil"/>
              <w:left w:val="nil"/>
              <w:bottom w:val="single" w:color="auto" w:sz="4" w:space="0"/>
              <w:right w:val="single" w:color="auto" w:sz="4" w:space="0"/>
            </w:tcBorders>
            <w:vAlign w:val="center"/>
          </w:tcPr>
          <w:p w14:paraId="05358E77">
            <w:pPr>
              <w:widowControl/>
              <w:jc w:val="center"/>
              <w:rPr>
                <w:rFonts w:ascii="仿宋" w:hAnsi="仿宋" w:eastAsia="仿宋"/>
                <w:kern w:val="0"/>
                <w:sz w:val="24"/>
              </w:rPr>
            </w:pPr>
            <w:r>
              <w:rPr>
                <w:rFonts w:ascii="仿宋" w:hAnsi="仿宋" w:eastAsia="仿宋"/>
                <w:kern w:val="0"/>
                <w:sz w:val="24"/>
              </w:rPr>
              <w:t>90</w:t>
            </w:r>
          </w:p>
        </w:tc>
        <w:tc>
          <w:tcPr>
            <w:tcW w:w="1394" w:type="dxa"/>
            <w:tcBorders>
              <w:top w:val="nil"/>
              <w:left w:val="nil"/>
              <w:bottom w:val="single" w:color="auto" w:sz="4" w:space="0"/>
              <w:right w:val="single" w:color="auto" w:sz="4" w:space="0"/>
            </w:tcBorders>
            <w:vAlign w:val="center"/>
          </w:tcPr>
          <w:p w14:paraId="2A70666A">
            <w:pPr>
              <w:widowControl/>
              <w:jc w:val="center"/>
              <w:rPr>
                <w:rFonts w:ascii="仿宋" w:hAnsi="仿宋" w:eastAsia="仿宋" w:cs="宋体"/>
                <w:kern w:val="0"/>
                <w:sz w:val="24"/>
              </w:rPr>
            </w:pPr>
            <w:r>
              <w:rPr>
                <w:rFonts w:hint="eastAsia" w:ascii="仿宋" w:hAnsi="仿宋" w:eastAsia="仿宋" w:cs="宋体"/>
                <w:kern w:val="0"/>
                <w:sz w:val="24"/>
              </w:rPr>
              <w:t>8000</w:t>
            </w:r>
          </w:p>
        </w:tc>
        <w:tc>
          <w:tcPr>
            <w:tcW w:w="1174" w:type="dxa"/>
            <w:tcBorders>
              <w:top w:val="nil"/>
              <w:left w:val="nil"/>
              <w:bottom w:val="single" w:color="auto" w:sz="4" w:space="0"/>
              <w:right w:val="single" w:color="auto" w:sz="4" w:space="0"/>
            </w:tcBorders>
            <w:vAlign w:val="center"/>
          </w:tcPr>
          <w:p w14:paraId="4F0762E3">
            <w:pPr>
              <w:widowControl/>
              <w:jc w:val="center"/>
              <w:rPr>
                <w:rFonts w:ascii="仿宋" w:hAnsi="仿宋" w:eastAsia="仿宋" w:cs="宋体"/>
                <w:kern w:val="0"/>
                <w:sz w:val="24"/>
              </w:rPr>
            </w:pPr>
            <w:r>
              <w:rPr>
                <w:rFonts w:hint="eastAsia" w:ascii="仿宋" w:hAnsi="仿宋" w:eastAsia="仿宋" w:cs="宋体"/>
                <w:kern w:val="0"/>
                <w:sz w:val="24"/>
              </w:rPr>
              <w:t>80</w:t>
            </w:r>
          </w:p>
        </w:tc>
        <w:tc>
          <w:tcPr>
            <w:tcW w:w="1560" w:type="dxa"/>
            <w:tcBorders>
              <w:top w:val="nil"/>
              <w:left w:val="nil"/>
              <w:bottom w:val="single" w:color="auto" w:sz="4" w:space="0"/>
              <w:right w:val="single" w:color="auto" w:sz="4" w:space="0"/>
            </w:tcBorders>
            <w:vAlign w:val="center"/>
          </w:tcPr>
          <w:p w14:paraId="19F47BAD">
            <w:pPr>
              <w:widowControl/>
              <w:jc w:val="center"/>
              <w:rPr>
                <w:rFonts w:ascii="仿宋" w:hAnsi="仿宋" w:eastAsia="仿宋" w:cs="宋体"/>
                <w:kern w:val="0"/>
                <w:sz w:val="24"/>
              </w:rPr>
            </w:pPr>
            <w:r>
              <w:rPr>
                <w:rFonts w:hint="eastAsia" w:ascii="仿宋" w:hAnsi="仿宋" w:eastAsia="仿宋" w:cs="宋体"/>
                <w:kern w:val="0"/>
                <w:sz w:val="24"/>
              </w:rPr>
              <w:t>8000</w:t>
            </w:r>
          </w:p>
        </w:tc>
        <w:tc>
          <w:tcPr>
            <w:tcW w:w="1487" w:type="dxa"/>
            <w:tcBorders>
              <w:top w:val="nil"/>
              <w:left w:val="nil"/>
              <w:bottom w:val="single" w:color="auto" w:sz="4" w:space="0"/>
              <w:right w:val="single" w:color="auto" w:sz="4" w:space="0"/>
            </w:tcBorders>
            <w:vAlign w:val="center"/>
          </w:tcPr>
          <w:p w14:paraId="64F29DA3">
            <w:pPr>
              <w:widowControl/>
              <w:jc w:val="center"/>
              <w:rPr>
                <w:rFonts w:ascii="仿宋" w:hAnsi="仿宋" w:eastAsia="仿宋" w:cs="宋体"/>
                <w:kern w:val="0"/>
                <w:sz w:val="24"/>
              </w:rPr>
            </w:pPr>
            <w:r>
              <w:rPr>
                <w:rFonts w:hint="eastAsia" w:ascii="仿宋" w:hAnsi="仿宋" w:eastAsia="仿宋" w:cs="宋体"/>
                <w:kern w:val="0"/>
                <w:sz w:val="24"/>
              </w:rPr>
              <w:t>3年</w:t>
            </w:r>
          </w:p>
        </w:tc>
      </w:tr>
      <w:tr w14:paraId="03F6341B">
        <w:tblPrEx>
          <w:tblCellMar>
            <w:top w:w="0" w:type="dxa"/>
            <w:left w:w="0" w:type="dxa"/>
            <w:bottom w:w="0" w:type="dxa"/>
            <w:right w:w="0" w:type="dxa"/>
          </w:tblCellMar>
        </w:tblPrEx>
        <w:trPr>
          <w:trHeight w:val="501" w:hRule="atLeast"/>
          <w:jc w:val="right"/>
        </w:trPr>
        <w:tc>
          <w:tcPr>
            <w:tcW w:w="755" w:type="dxa"/>
            <w:tcBorders>
              <w:top w:val="single" w:color="auto" w:sz="4" w:space="0"/>
              <w:left w:val="single" w:color="auto" w:sz="4" w:space="0"/>
              <w:bottom w:val="single" w:color="auto" w:sz="4" w:space="0"/>
              <w:right w:val="single" w:color="auto" w:sz="4" w:space="0"/>
            </w:tcBorders>
            <w:shd w:val="clear" w:color="auto" w:fill="auto"/>
            <w:vAlign w:val="center"/>
          </w:tcPr>
          <w:p w14:paraId="298E732C">
            <w:pPr>
              <w:widowControl/>
              <w:jc w:val="center"/>
              <w:rPr>
                <w:rFonts w:ascii="仿宋" w:hAnsi="仿宋" w:eastAsia="仿宋"/>
                <w:kern w:val="0"/>
                <w:sz w:val="24"/>
              </w:rPr>
            </w:pPr>
            <w:r>
              <w:rPr>
                <w:rFonts w:hint="eastAsia" w:ascii="仿宋" w:hAnsi="仿宋" w:eastAsia="仿宋"/>
                <w:kern w:val="0"/>
                <w:sz w:val="24"/>
              </w:rPr>
              <w:t>56</w:t>
            </w:r>
          </w:p>
        </w:tc>
        <w:tc>
          <w:tcPr>
            <w:tcW w:w="82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579C23D">
            <w:pPr>
              <w:jc w:val="center"/>
              <w:rPr>
                <w:rFonts w:ascii="仿宋" w:hAnsi="仿宋" w:eastAsia="仿宋" w:cs="宋体"/>
                <w:kern w:val="0"/>
                <w:sz w:val="24"/>
              </w:rPr>
            </w:pPr>
          </w:p>
        </w:tc>
        <w:tc>
          <w:tcPr>
            <w:tcW w:w="1386" w:type="dxa"/>
            <w:tcBorders>
              <w:top w:val="single" w:color="auto" w:sz="4" w:space="0"/>
              <w:left w:val="single" w:color="auto" w:sz="4" w:space="0"/>
              <w:bottom w:val="single" w:color="auto" w:sz="4" w:space="0"/>
              <w:right w:val="single" w:color="auto" w:sz="4" w:space="0"/>
            </w:tcBorders>
            <w:shd w:val="clear" w:color="000000" w:fill="FFFFFF"/>
            <w:vAlign w:val="center"/>
          </w:tcPr>
          <w:p w14:paraId="230A7190">
            <w:pPr>
              <w:widowControl/>
              <w:jc w:val="center"/>
              <w:rPr>
                <w:rFonts w:ascii="仿宋" w:hAnsi="仿宋" w:eastAsia="仿宋"/>
                <w:kern w:val="0"/>
                <w:sz w:val="24"/>
              </w:rPr>
            </w:pPr>
            <w:r>
              <w:rPr>
                <w:rFonts w:ascii="仿宋" w:hAnsi="仿宋" w:eastAsia="仿宋"/>
                <w:kern w:val="0"/>
                <w:sz w:val="24"/>
              </w:rPr>
              <w:t>M07102</w:t>
            </w:r>
          </w:p>
        </w:tc>
        <w:tc>
          <w:tcPr>
            <w:tcW w:w="3598" w:type="dxa"/>
            <w:tcBorders>
              <w:top w:val="nil"/>
              <w:left w:val="nil"/>
              <w:bottom w:val="single" w:color="auto" w:sz="4" w:space="0"/>
              <w:right w:val="single" w:color="auto" w:sz="4" w:space="0"/>
            </w:tcBorders>
            <w:shd w:val="clear" w:color="000000" w:fill="FFFFFF"/>
            <w:vAlign w:val="center"/>
          </w:tcPr>
          <w:p w14:paraId="4FCCEEE0">
            <w:pPr>
              <w:widowControl/>
              <w:jc w:val="center"/>
              <w:rPr>
                <w:rFonts w:ascii="仿宋" w:hAnsi="仿宋" w:eastAsia="仿宋"/>
                <w:kern w:val="0"/>
                <w:sz w:val="24"/>
              </w:rPr>
            </w:pPr>
            <w:r>
              <w:rPr>
                <w:rFonts w:ascii="仿宋" w:hAnsi="仿宋" w:eastAsia="仿宋"/>
                <w:kern w:val="0"/>
                <w:sz w:val="24"/>
              </w:rPr>
              <w:t>系统性红斑狼疮伴并发症</w:t>
            </w:r>
          </w:p>
        </w:tc>
        <w:tc>
          <w:tcPr>
            <w:tcW w:w="1180" w:type="dxa"/>
            <w:tcBorders>
              <w:top w:val="nil"/>
              <w:left w:val="nil"/>
              <w:bottom w:val="single" w:color="auto" w:sz="4" w:space="0"/>
              <w:right w:val="single" w:color="auto" w:sz="4" w:space="0"/>
            </w:tcBorders>
            <w:vAlign w:val="center"/>
          </w:tcPr>
          <w:p w14:paraId="66495FD2">
            <w:pPr>
              <w:widowControl/>
              <w:jc w:val="center"/>
              <w:rPr>
                <w:rFonts w:ascii="仿宋" w:hAnsi="仿宋" w:eastAsia="仿宋"/>
                <w:kern w:val="0"/>
                <w:sz w:val="24"/>
              </w:rPr>
            </w:pPr>
            <w:r>
              <w:rPr>
                <w:rFonts w:ascii="仿宋" w:hAnsi="仿宋" w:eastAsia="仿宋"/>
                <w:kern w:val="0"/>
                <w:sz w:val="24"/>
              </w:rPr>
              <w:t>90</w:t>
            </w:r>
          </w:p>
        </w:tc>
        <w:tc>
          <w:tcPr>
            <w:tcW w:w="1394" w:type="dxa"/>
            <w:tcBorders>
              <w:top w:val="nil"/>
              <w:left w:val="nil"/>
              <w:bottom w:val="single" w:color="auto" w:sz="4" w:space="0"/>
              <w:right w:val="single" w:color="auto" w:sz="4" w:space="0"/>
            </w:tcBorders>
            <w:vAlign w:val="center"/>
          </w:tcPr>
          <w:p w14:paraId="0213F4A9">
            <w:pPr>
              <w:widowControl/>
              <w:jc w:val="center"/>
              <w:rPr>
                <w:rFonts w:ascii="仿宋" w:hAnsi="仿宋" w:eastAsia="仿宋" w:cs="宋体"/>
                <w:kern w:val="0"/>
                <w:sz w:val="24"/>
              </w:rPr>
            </w:pPr>
            <w:r>
              <w:rPr>
                <w:rFonts w:hint="eastAsia" w:ascii="仿宋" w:hAnsi="仿宋" w:eastAsia="仿宋" w:cs="宋体"/>
                <w:kern w:val="0"/>
                <w:sz w:val="24"/>
              </w:rPr>
              <w:t>10000</w:t>
            </w:r>
          </w:p>
        </w:tc>
        <w:tc>
          <w:tcPr>
            <w:tcW w:w="1174" w:type="dxa"/>
            <w:tcBorders>
              <w:top w:val="nil"/>
              <w:left w:val="nil"/>
              <w:bottom w:val="single" w:color="auto" w:sz="4" w:space="0"/>
              <w:right w:val="single" w:color="auto" w:sz="4" w:space="0"/>
            </w:tcBorders>
            <w:vAlign w:val="center"/>
          </w:tcPr>
          <w:p w14:paraId="0771C430">
            <w:pPr>
              <w:widowControl/>
              <w:jc w:val="center"/>
              <w:rPr>
                <w:rFonts w:ascii="仿宋" w:hAnsi="仿宋" w:eastAsia="仿宋" w:cs="宋体"/>
                <w:kern w:val="0"/>
                <w:sz w:val="24"/>
              </w:rPr>
            </w:pPr>
            <w:r>
              <w:rPr>
                <w:rFonts w:hint="eastAsia" w:ascii="仿宋" w:hAnsi="仿宋" w:eastAsia="仿宋" w:cs="宋体"/>
                <w:kern w:val="0"/>
                <w:sz w:val="24"/>
              </w:rPr>
              <w:t>80</w:t>
            </w:r>
          </w:p>
        </w:tc>
        <w:tc>
          <w:tcPr>
            <w:tcW w:w="1560" w:type="dxa"/>
            <w:tcBorders>
              <w:top w:val="nil"/>
              <w:left w:val="nil"/>
              <w:bottom w:val="single" w:color="auto" w:sz="4" w:space="0"/>
              <w:right w:val="single" w:color="auto" w:sz="4" w:space="0"/>
            </w:tcBorders>
            <w:vAlign w:val="center"/>
          </w:tcPr>
          <w:p w14:paraId="1BE7C28D">
            <w:pPr>
              <w:widowControl/>
              <w:jc w:val="center"/>
              <w:rPr>
                <w:rFonts w:ascii="仿宋" w:hAnsi="仿宋" w:eastAsia="仿宋" w:cs="宋体"/>
                <w:kern w:val="0"/>
                <w:sz w:val="24"/>
              </w:rPr>
            </w:pPr>
            <w:r>
              <w:rPr>
                <w:rFonts w:hint="eastAsia" w:ascii="仿宋" w:hAnsi="仿宋" w:eastAsia="仿宋" w:cs="宋体"/>
                <w:kern w:val="0"/>
                <w:sz w:val="24"/>
              </w:rPr>
              <w:t>10000</w:t>
            </w:r>
          </w:p>
        </w:tc>
        <w:tc>
          <w:tcPr>
            <w:tcW w:w="1487" w:type="dxa"/>
            <w:tcBorders>
              <w:top w:val="nil"/>
              <w:left w:val="nil"/>
              <w:bottom w:val="single" w:color="auto" w:sz="4" w:space="0"/>
              <w:right w:val="single" w:color="auto" w:sz="4" w:space="0"/>
            </w:tcBorders>
            <w:vAlign w:val="center"/>
          </w:tcPr>
          <w:p w14:paraId="2FE49DA6">
            <w:pPr>
              <w:widowControl/>
              <w:jc w:val="center"/>
              <w:rPr>
                <w:rFonts w:ascii="仿宋" w:hAnsi="仿宋" w:eastAsia="仿宋" w:cs="宋体"/>
                <w:kern w:val="0"/>
                <w:sz w:val="24"/>
              </w:rPr>
            </w:pPr>
            <w:r>
              <w:rPr>
                <w:rFonts w:hint="eastAsia" w:ascii="仿宋" w:hAnsi="仿宋" w:eastAsia="仿宋" w:cs="宋体"/>
                <w:kern w:val="0"/>
                <w:sz w:val="24"/>
              </w:rPr>
              <w:t>5年</w:t>
            </w:r>
          </w:p>
        </w:tc>
      </w:tr>
      <w:tr w14:paraId="65E09F2C">
        <w:tblPrEx>
          <w:tblCellMar>
            <w:top w:w="0" w:type="dxa"/>
            <w:left w:w="0" w:type="dxa"/>
            <w:bottom w:w="0" w:type="dxa"/>
            <w:right w:w="0" w:type="dxa"/>
          </w:tblCellMar>
        </w:tblPrEx>
        <w:trPr>
          <w:trHeight w:val="501" w:hRule="atLeast"/>
          <w:jc w:val="right"/>
        </w:trPr>
        <w:tc>
          <w:tcPr>
            <w:tcW w:w="755" w:type="dxa"/>
            <w:tcBorders>
              <w:top w:val="single" w:color="auto" w:sz="4" w:space="0"/>
              <w:left w:val="single" w:color="auto" w:sz="4" w:space="0"/>
              <w:bottom w:val="single" w:color="auto" w:sz="4" w:space="0"/>
              <w:right w:val="single" w:color="auto" w:sz="4" w:space="0"/>
            </w:tcBorders>
            <w:shd w:val="clear" w:color="auto" w:fill="auto"/>
            <w:vAlign w:val="center"/>
          </w:tcPr>
          <w:p w14:paraId="242EDD02">
            <w:pPr>
              <w:widowControl/>
              <w:jc w:val="center"/>
              <w:rPr>
                <w:rFonts w:ascii="仿宋" w:hAnsi="仿宋" w:eastAsia="仿宋"/>
                <w:kern w:val="0"/>
                <w:sz w:val="24"/>
              </w:rPr>
            </w:pPr>
            <w:r>
              <w:rPr>
                <w:rFonts w:hint="eastAsia" w:ascii="仿宋" w:hAnsi="仿宋" w:eastAsia="仿宋"/>
                <w:kern w:val="0"/>
                <w:sz w:val="24"/>
              </w:rPr>
              <w:t>57</w:t>
            </w:r>
          </w:p>
        </w:tc>
        <w:tc>
          <w:tcPr>
            <w:tcW w:w="82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12A0A2A">
            <w:pPr>
              <w:jc w:val="center"/>
              <w:rPr>
                <w:rFonts w:ascii="仿宋" w:hAnsi="仿宋" w:eastAsia="仿宋"/>
                <w:kern w:val="0"/>
                <w:sz w:val="24"/>
              </w:rPr>
            </w:pPr>
          </w:p>
        </w:tc>
        <w:tc>
          <w:tcPr>
            <w:tcW w:w="1386" w:type="dxa"/>
            <w:tcBorders>
              <w:top w:val="single" w:color="auto" w:sz="4" w:space="0"/>
              <w:left w:val="single" w:color="auto" w:sz="4" w:space="0"/>
              <w:bottom w:val="single" w:color="auto" w:sz="4" w:space="0"/>
              <w:right w:val="single" w:color="auto" w:sz="4" w:space="0"/>
            </w:tcBorders>
            <w:shd w:val="clear" w:color="000000" w:fill="FFFFFF"/>
            <w:vAlign w:val="center"/>
          </w:tcPr>
          <w:p w14:paraId="5A64C089">
            <w:pPr>
              <w:widowControl/>
              <w:jc w:val="center"/>
              <w:rPr>
                <w:rFonts w:ascii="仿宋" w:hAnsi="仿宋" w:eastAsia="仿宋"/>
                <w:kern w:val="0"/>
                <w:sz w:val="24"/>
              </w:rPr>
            </w:pPr>
            <w:r>
              <w:rPr>
                <w:rFonts w:ascii="仿宋" w:hAnsi="仿宋" w:eastAsia="仿宋"/>
                <w:kern w:val="0"/>
                <w:sz w:val="24"/>
              </w:rPr>
              <w:t>M01200</w:t>
            </w:r>
          </w:p>
        </w:tc>
        <w:tc>
          <w:tcPr>
            <w:tcW w:w="3598" w:type="dxa"/>
            <w:tcBorders>
              <w:top w:val="nil"/>
              <w:left w:val="nil"/>
              <w:bottom w:val="single" w:color="auto" w:sz="4" w:space="0"/>
              <w:right w:val="single" w:color="auto" w:sz="4" w:space="0"/>
            </w:tcBorders>
            <w:shd w:val="clear" w:color="000000" w:fill="FFFFFF"/>
            <w:vAlign w:val="center"/>
          </w:tcPr>
          <w:p w14:paraId="5156F8AC">
            <w:pPr>
              <w:widowControl/>
              <w:jc w:val="center"/>
              <w:rPr>
                <w:rFonts w:ascii="仿宋" w:hAnsi="仿宋" w:eastAsia="仿宋"/>
                <w:kern w:val="0"/>
                <w:sz w:val="24"/>
              </w:rPr>
            </w:pPr>
            <w:r>
              <w:rPr>
                <w:rFonts w:ascii="仿宋" w:hAnsi="仿宋" w:eastAsia="仿宋"/>
                <w:kern w:val="0"/>
                <w:sz w:val="24"/>
              </w:rPr>
              <w:t>血友病</w:t>
            </w:r>
          </w:p>
        </w:tc>
        <w:tc>
          <w:tcPr>
            <w:tcW w:w="1180" w:type="dxa"/>
            <w:tcBorders>
              <w:top w:val="nil"/>
              <w:left w:val="nil"/>
              <w:bottom w:val="single" w:color="auto" w:sz="4" w:space="0"/>
              <w:right w:val="single" w:color="auto" w:sz="4" w:space="0"/>
            </w:tcBorders>
            <w:vAlign w:val="center"/>
          </w:tcPr>
          <w:p w14:paraId="163E82E5">
            <w:pPr>
              <w:widowControl/>
              <w:jc w:val="center"/>
              <w:rPr>
                <w:rFonts w:ascii="仿宋" w:hAnsi="仿宋" w:eastAsia="仿宋"/>
                <w:kern w:val="0"/>
                <w:sz w:val="24"/>
              </w:rPr>
            </w:pPr>
            <w:r>
              <w:rPr>
                <w:rFonts w:ascii="仿宋" w:hAnsi="仿宋" w:eastAsia="仿宋"/>
                <w:kern w:val="0"/>
                <w:sz w:val="24"/>
              </w:rPr>
              <w:t>90</w:t>
            </w:r>
          </w:p>
        </w:tc>
        <w:tc>
          <w:tcPr>
            <w:tcW w:w="1394" w:type="dxa"/>
            <w:tcBorders>
              <w:top w:val="nil"/>
              <w:left w:val="nil"/>
              <w:bottom w:val="single" w:color="auto" w:sz="4" w:space="0"/>
              <w:right w:val="single" w:color="auto" w:sz="4" w:space="0"/>
            </w:tcBorders>
            <w:vAlign w:val="center"/>
          </w:tcPr>
          <w:p w14:paraId="43945BB3">
            <w:pPr>
              <w:widowControl/>
              <w:jc w:val="center"/>
              <w:rPr>
                <w:rFonts w:ascii="仿宋" w:hAnsi="仿宋" w:eastAsia="仿宋" w:cs="宋体"/>
                <w:kern w:val="0"/>
                <w:sz w:val="24"/>
              </w:rPr>
            </w:pPr>
            <w:r>
              <w:rPr>
                <w:rFonts w:hint="eastAsia" w:ascii="仿宋" w:hAnsi="仿宋" w:eastAsia="仿宋" w:cs="宋体"/>
                <w:kern w:val="0"/>
                <w:sz w:val="24"/>
              </w:rPr>
              <w:t>60000</w:t>
            </w:r>
          </w:p>
        </w:tc>
        <w:tc>
          <w:tcPr>
            <w:tcW w:w="1174" w:type="dxa"/>
            <w:tcBorders>
              <w:top w:val="nil"/>
              <w:left w:val="nil"/>
              <w:bottom w:val="single" w:color="auto" w:sz="4" w:space="0"/>
              <w:right w:val="single" w:color="auto" w:sz="4" w:space="0"/>
            </w:tcBorders>
            <w:vAlign w:val="center"/>
          </w:tcPr>
          <w:p w14:paraId="7306F8A2">
            <w:pPr>
              <w:widowControl/>
              <w:jc w:val="center"/>
              <w:rPr>
                <w:rFonts w:ascii="仿宋" w:hAnsi="仿宋" w:eastAsia="仿宋" w:cs="宋体"/>
                <w:kern w:val="0"/>
                <w:sz w:val="24"/>
              </w:rPr>
            </w:pPr>
            <w:r>
              <w:rPr>
                <w:rFonts w:hint="eastAsia" w:ascii="仿宋" w:hAnsi="仿宋" w:eastAsia="仿宋" w:cs="宋体"/>
                <w:kern w:val="0"/>
                <w:sz w:val="24"/>
              </w:rPr>
              <w:t>80</w:t>
            </w:r>
          </w:p>
        </w:tc>
        <w:tc>
          <w:tcPr>
            <w:tcW w:w="1560" w:type="dxa"/>
            <w:tcBorders>
              <w:top w:val="nil"/>
              <w:left w:val="nil"/>
              <w:bottom w:val="single" w:color="auto" w:sz="4" w:space="0"/>
              <w:right w:val="single" w:color="auto" w:sz="4" w:space="0"/>
            </w:tcBorders>
            <w:vAlign w:val="center"/>
          </w:tcPr>
          <w:p w14:paraId="12B16F47">
            <w:pPr>
              <w:widowControl/>
              <w:jc w:val="center"/>
              <w:rPr>
                <w:rFonts w:ascii="仿宋" w:hAnsi="仿宋" w:eastAsia="仿宋" w:cs="宋体"/>
                <w:kern w:val="0"/>
                <w:sz w:val="24"/>
              </w:rPr>
            </w:pPr>
            <w:r>
              <w:rPr>
                <w:rFonts w:hint="eastAsia" w:ascii="仿宋" w:hAnsi="仿宋" w:eastAsia="仿宋" w:cs="宋体"/>
                <w:kern w:val="0"/>
                <w:sz w:val="24"/>
              </w:rPr>
              <w:t>60000</w:t>
            </w:r>
          </w:p>
        </w:tc>
        <w:tc>
          <w:tcPr>
            <w:tcW w:w="1487" w:type="dxa"/>
            <w:tcBorders>
              <w:top w:val="nil"/>
              <w:left w:val="nil"/>
              <w:bottom w:val="single" w:color="auto" w:sz="4" w:space="0"/>
              <w:right w:val="single" w:color="auto" w:sz="4" w:space="0"/>
            </w:tcBorders>
            <w:vAlign w:val="center"/>
          </w:tcPr>
          <w:p w14:paraId="44350D4D">
            <w:pPr>
              <w:widowControl/>
              <w:jc w:val="center"/>
              <w:rPr>
                <w:rFonts w:ascii="仿宋" w:hAnsi="仿宋" w:eastAsia="仿宋" w:cs="宋体"/>
                <w:kern w:val="0"/>
                <w:sz w:val="24"/>
              </w:rPr>
            </w:pPr>
            <w:r>
              <w:rPr>
                <w:rFonts w:hint="eastAsia" w:ascii="仿宋" w:hAnsi="仿宋" w:eastAsia="仿宋" w:cs="宋体"/>
                <w:kern w:val="0"/>
                <w:sz w:val="24"/>
              </w:rPr>
              <w:t>长期</w:t>
            </w:r>
          </w:p>
        </w:tc>
      </w:tr>
      <w:tr w14:paraId="13EDD745">
        <w:tblPrEx>
          <w:tblCellMar>
            <w:top w:w="0" w:type="dxa"/>
            <w:left w:w="0" w:type="dxa"/>
            <w:bottom w:w="0" w:type="dxa"/>
            <w:right w:w="0" w:type="dxa"/>
          </w:tblCellMar>
        </w:tblPrEx>
        <w:trPr>
          <w:trHeight w:val="501" w:hRule="atLeast"/>
          <w:jc w:val="right"/>
        </w:trPr>
        <w:tc>
          <w:tcPr>
            <w:tcW w:w="755" w:type="dxa"/>
            <w:tcBorders>
              <w:top w:val="single" w:color="auto" w:sz="4" w:space="0"/>
              <w:left w:val="single" w:color="auto" w:sz="4" w:space="0"/>
              <w:bottom w:val="single" w:color="auto" w:sz="4" w:space="0"/>
              <w:right w:val="single" w:color="auto" w:sz="4" w:space="0"/>
            </w:tcBorders>
            <w:shd w:val="clear" w:color="auto" w:fill="auto"/>
            <w:vAlign w:val="center"/>
          </w:tcPr>
          <w:p w14:paraId="79D18778">
            <w:pPr>
              <w:widowControl/>
              <w:jc w:val="center"/>
              <w:rPr>
                <w:rFonts w:ascii="仿宋" w:hAnsi="仿宋" w:eastAsia="仿宋"/>
                <w:kern w:val="0"/>
                <w:sz w:val="24"/>
              </w:rPr>
            </w:pPr>
            <w:r>
              <w:rPr>
                <w:rFonts w:hint="eastAsia" w:ascii="仿宋" w:hAnsi="仿宋" w:eastAsia="仿宋"/>
                <w:kern w:val="0"/>
                <w:sz w:val="24"/>
              </w:rPr>
              <w:t>58</w:t>
            </w:r>
          </w:p>
        </w:tc>
        <w:tc>
          <w:tcPr>
            <w:tcW w:w="822" w:type="dxa"/>
            <w:vMerge w:val="continue"/>
            <w:tcBorders>
              <w:top w:val="single" w:color="auto" w:sz="4" w:space="0"/>
              <w:left w:val="single" w:color="auto" w:sz="4" w:space="0"/>
              <w:right w:val="single" w:color="auto" w:sz="4" w:space="0"/>
            </w:tcBorders>
            <w:shd w:val="clear" w:color="auto" w:fill="auto"/>
            <w:vAlign w:val="center"/>
          </w:tcPr>
          <w:p w14:paraId="19B95370">
            <w:pPr>
              <w:jc w:val="center"/>
              <w:rPr>
                <w:rFonts w:ascii="仿宋" w:hAnsi="仿宋" w:eastAsia="仿宋"/>
                <w:kern w:val="0"/>
                <w:sz w:val="24"/>
              </w:rPr>
            </w:pPr>
          </w:p>
        </w:tc>
        <w:tc>
          <w:tcPr>
            <w:tcW w:w="1386" w:type="dxa"/>
            <w:tcBorders>
              <w:top w:val="single" w:color="auto" w:sz="4" w:space="0"/>
              <w:left w:val="nil"/>
              <w:bottom w:val="single" w:color="auto" w:sz="4" w:space="0"/>
              <w:right w:val="single" w:color="auto" w:sz="4" w:space="0"/>
            </w:tcBorders>
            <w:shd w:val="clear" w:color="auto" w:fill="auto"/>
            <w:vAlign w:val="center"/>
          </w:tcPr>
          <w:p w14:paraId="265405C4">
            <w:pPr>
              <w:widowControl/>
              <w:jc w:val="center"/>
              <w:rPr>
                <w:rFonts w:ascii="仿宋" w:hAnsi="仿宋" w:eastAsia="仿宋"/>
                <w:kern w:val="0"/>
                <w:sz w:val="24"/>
              </w:rPr>
            </w:pPr>
            <w:r>
              <w:rPr>
                <w:rFonts w:ascii="仿宋" w:hAnsi="仿宋" w:eastAsia="仿宋"/>
                <w:kern w:val="0"/>
                <w:sz w:val="24"/>
              </w:rPr>
              <w:t>M00800</w:t>
            </w:r>
          </w:p>
        </w:tc>
        <w:tc>
          <w:tcPr>
            <w:tcW w:w="3598" w:type="dxa"/>
            <w:tcBorders>
              <w:top w:val="nil"/>
              <w:left w:val="nil"/>
              <w:bottom w:val="single" w:color="auto" w:sz="4" w:space="0"/>
              <w:right w:val="single" w:color="auto" w:sz="4" w:space="0"/>
            </w:tcBorders>
            <w:shd w:val="clear" w:color="000000" w:fill="FFFFFF"/>
            <w:vAlign w:val="center"/>
          </w:tcPr>
          <w:p w14:paraId="1676CB51">
            <w:pPr>
              <w:widowControl/>
              <w:jc w:val="center"/>
              <w:rPr>
                <w:rFonts w:ascii="仿宋" w:hAnsi="仿宋" w:eastAsia="仿宋"/>
                <w:kern w:val="0"/>
                <w:sz w:val="24"/>
              </w:rPr>
            </w:pPr>
            <w:r>
              <w:rPr>
                <w:rFonts w:ascii="仿宋" w:hAnsi="仿宋" w:eastAsia="仿宋"/>
                <w:kern w:val="0"/>
                <w:sz w:val="24"/>
              </w:rPr>
              <w:t>白血病门诊治疗</w:t>
            </w:r>
          </w:p>
        </w:tc>
        <w:tc>
          <w:tcPr>
            <w:tcW w:w="1180" w:type="dxa"/>
            <w:tcBorders>
              <w:top w:val="nil"/>
              <w:left w:val="nil"/>
              <w:bottom w:val="single" w:color="auto" w:sz="4" w:space="0"/>
              <w:right w:val="single" w:color="auto" w:sz="4" w:space="0"/>
            </w:tcBorders>
            <w:vAlign w:val="center"/>
          </w:tcPr>
          <w:p w14:paraId="522C3208">
            <w:pPr>
              <w:widowControl/>
              <w:jc w:val="center"/>
              <w:rPr>
                <w:rFonts w:ascii="仿宋" w:hAnsi="仿宋" w:eastAsia="仿宋"/>
                <w:kern w:val="0"/>
                <w:sz w:val="24"/>
              </w:rPr>
            </w:pPr>
            <w:r>
              <w:rPr>
                <w:rFonts w:ascii="仿宋" w:hAnsi="仿宋" w:eastAsia="仿宋"/>
                <w:kern w:val="0"/>
                <w:sz w:val="24"/>
              </w:rPr>
              <w:t>90</w:t>
            </w:r>
          </w:p>
        </w:tc>
        <w:tc>
          <w:tcPr>
            <w:tcW w:w="1394" w:type="dxa"/>
            <w:tcBorders>
              <w:top w:val="nil"/>
              <w:left w:val="nil"/>
              <w:bottom w:val="single" w:color="auto" w:sz="4" w:space="0"/>
              <w:right w:val="single" w:color="auto" w:sz="4" w:space="0"/>
            </w:tcBorders>
            <w:vAlign w:val="center"/>
          </w:tcPr>
          <w:p w14:paraId="5AEBFF14">
            <w:pPr>
              <w:widowControl/>
              <w:jc w:val="center"/>
              <w:rPr>
                <w:rFonts w:ascii="仿宋" w:hAnsi="仿宋" w:eastAsia="仿宋" w:cs="宋体"/>
                <w:kern w:val="0"/>
                <w:sz w:val="24"/>
              </w:rPr>
            </w:pPr>
            <w:r>
              <w:rPr>
                <w:rFonts w:hint="eastAsia" w:ascii="仿宋" w:hAnsi="仿宋" w:eastAsia="仿宋" w:cs="宋体"/>
                <w:kern w:val="0"/>
                <w:sz w:val="24"/>
              </w:rPr>
              <w:t>10000</w:t>
            </w:r>
          </w:p>
        </w:tc>
        <w:tc>
          <w:tcPr>
            <w:tcW w:w="1174" w:type="dxa"/>
            <w:tcBorders>
              <w:top w:val="nil"/>
              <w:left w:val="nil"/>
              <w:bottom w:val="single" w:color="auto" w:sz="4" w:space="0"/>
              <w:right w:val="single" w:color="auto" w:sz="4" w:space="0"/>
            </w:tcBorders>
            <w:vAlign w:val="center"/>
          </w:tcPr>
          <w:p w14:paraId="0BE6B16B">
            <w:pPr>
              <w:widowControl/>
              <w:jc w:val="center"/>
              <w:rPr>
                <w:rFonts w:ascii="仿宋" w:hAnsi="仿宋" w:eastAsia="仿宋" w:cs="宋体"/>
                <w:kern w:val="0"/>
                <w:sz w:val="24"/>
              </w:rPr>
            </w:pPr>
            <w:r>
              <w:rPr>
                <w:rFonts w:hint="eastAsia" w:ascii="仿宋" w:hAnsi="仿宋" w:eastAsia="仿宋" w:cs="宋体"/>
                <w:kern w:val="0"/>
                <w:sz w:val="24"/>
              </w:rPr>
              <w:t>80</w:t>
            </w:r>
          </w:p>
        </w:tc>
        <w:tc>
          <w:tcPr>
            <w:tcW w:w="1560" w:type="dxa"/>
            <w:tcBorders>
              <w:top w:val="nil"/>
              <w:left w:val="nil"/>
              <w:bottom w:val="single" w:color="auto" w:sz="4" w:space="0"/>
              <w:right w:val="single" w:color="auto" w:sz="4" w:space="0"/>
            </w:tcBorders>
            <w:vAlign w:val="center"/>
          </w:tcPr>
          <w:p w14:paraId="2BC3F383">
            <w:pPr>
              <w:widowControl/>
              <w:jc w:val="center"/>
              <w:rPr>
                <w:rFonts w:ascii="仿宋" w:hAnsi="仿宋" w:eastAsia="仿宋" w:cs="宋体"/>
                <w:kern w:val="0"/>
                <w:sz w:val="24"/>
              </w:rPr>
            </w:pPr>
            <w:r>
              <w:rPr>
                <w:rFonts w:hint="eastAsia" w:ascii="仿宋" w:hAnsi="仿宋" w:eastAsia="仿宋" w:cs="宋体"/>
                <w:kern w:val="0"/>
                <w:sz w:val="24"/>
              </w:rPr>
              <w:t>10000</w:t>
            </w:r>
          </w:p>
        </w:tc>
        <w:tc>
          <w:tcPr>
            <w:tcW w:w="1487" w:type="dxa"/>
            <w:tcBorders>
              <w:top w:val="nil"/>
              <w:left w:val="nil"/>
              <w:bottom w:val="single" w:color="auto" w:sz="4" w:space="0"/>
              <w:right w:val="single" w:color="auto" w:sz="4" w:space="0"/>
            </w:tcBorders>
            <w:vAlign w:val="center"/>
          </w:tcPr>
          <w:p w14:paraId="1E69E877">
            <w:pPr>
              <w:widowControl/>
              <w:jc w:val="center"/>
              <w:rPr>
                <w:rFonts w:ascii="仿宋" w:hAnsi="仿宋" w:eastAsia="仿宋" w:cs="宋体"/>
                <w:kern w:val="0"/>
                <w:sz w:val="24"/>
              </w:rPr>
            </w:pPr>
            <w:r>
              <w:rPr>
                <w:rFonts w:hint="eastAsia" w:ascii="仿宋" w:hAnsi="仿宋" w:eastAsia="仿宋" w:cs="宋体"/>
                <w:kern w:val="0"/>
                <w:sz w:val="24"/>
              </w:rPr>
              <w:t>1年</w:t>
            </w:r>
          </w:p>
        </w:tc>
      </w:tr>
      <w:tr w14:paraId="4F8DE032">
        <w:tblPrEx>
          <w:tblCellMar>
            <w:top w:w="0" w:type="dxa"/>
            <w:left w:w="0" w:type="dxa"/>
            <w:bottom w:w="0" w:type="dxa"/>
            <w:right w:w="0" w:type="dxa"/>
          </w:tblCellMar>
        </w:tblPrEx>
        <w:trPr>
          <w:trHeight w:val="501" w:hRule="atLeast"/>
          <w:jc w:val="right"/>
        </w:trPr>
        <w:tc>
          <w:tcPr>
            <w:tcW w:w="755" w:type="dxa"/>
            <w:tcBorders>
              <w:top w:val="nil"/>
              <w:left w:val="single" w:color="auto" w:sz="4" w:space="0"/>
              <w:bottom w:val="single" w:color="auto" w:sz="4" w:space="0"/>
              <w:right w:val="single" w:color="auto" w:sz="4" w:space="0"/>
            </w:tcBorders>
            <w:shd w:val="clear" w:color="auto" w:fill="auto"/>
            <w:vAlign w:val="center"/>
          </w:tcPr>
          <w:p w14:paraId="6F13D7A5">
            <w:pPr>
              <w:widowControl/>
              <w:jc w:val="center"/>
              <w:rPr>
                <w:rFonts w:ascii="仿宋" w:hAnsi="仿宋" w:eastAsia="仿宋"/>
                <w:kern w:val="0"/>
                <w:sz w:val="24"/>
              </w:rPr>
            </w:pPr>
            <w:r>
              <w:rPr>
                <w:rFonts w:hint="eastAsia" w:ascii="仿宋" w:hAnsi="仿宋" w:eastAsia="仿宋"/>
                <w:kern w:val="0"/>
                <w:sz w:val="24"/>
              </w:rPr>
              <w:t>59</w:t>
            </w:r>
          </w:p>
        </w:tc>
        <w:tc>
          <w:tcPr>
            <w:tcW w:w="822" w:type="dxa"/>
            <w:vMerge w:val="continue"/>
            <w:tcBorders>
              <w:left w:val="single" w:color="auto" w:sz="4" w:space="0"/>
              <w:right w:val="single" w:color="auto" w:sz="4" w:space="0"/>
            </w:tcBorders>
            <w:shd w:val="clear" w:color="auto" w:fill="auto"/>
            <w:vAlign w:val="center"/>
          </w:tcPr>
          <w:p w14:paraId="54307402">
            <w:pPr>
              <w:jc w:val="center"/>
              <w:rPr>
                <w:rFonts w:ascii="仿宋" w:hAnsi="仿宋" w:eastAsia="仿宋"/>
                <w:kern w:val="0"/>
                <w:sz w:val="24"/>
              </w:rPr>
            </w:pPr>
          </w:p>
        </w:tc>
        <w:tc>
          <w:tcPr>
            <w:tcW w:w="1386" w:type="dxa"/>
            <w:tcBorders>
              <w:top w:val="nil"/>
              <w:left w:val="nil"/>
              <w:bottom w:val="single" w:color="auto" w:sz="4" w:space="0"/>
              <w:right w:val="single" w:color="auto" w:sz="4" w:space="0"/>
            </w:tcBorders>
            <w:shd w:val="clear" w:color="000000" w:fill="FFFFFF"/>
            <w:vAlign w:val="center"/>
          </w:tcPr>
          <w:p w14:paraId="53854B26">
            <w:pPr>
              <w:widowControl/>
              <w:jc w:val="center"/>
              <w:rPr>
                <w:rFonts w:ascii="仿宋" w:hAnsi="仿宋" w:eastAsia="仿宋"/>
                <w:kern w:val="0"/>
                <w:sz w:val="24"/>
              </w:rPr>
            </w:pPr>
            <w:r>
              <w:rPr>
                <w:rFonts w:ascii="仿宋" w:hAnsi="仿宋" w:eastAsia="仿宋"/>
                <w:kern w:val="0"/>
                <w:sz w:val="24"/>
              </w:rPr>
              <w:t>M01102</w:t>
            </w:r>
          </w:p>
        </w:tc>
        <w:tc>
          <w:tcPr>
            <w:tcW w:w="3598" w:type="dxa"/>
            <w:tcBorders>
              <w:top w:val="nil"/>
              <w:left w:val="nil"/>
              <w:bottom w:val="single" w:color="auto" w:sz="4" w:space="0"/>
              <w:right w:val="single" w:color="auto" w:sz="4" w:space="0"/>
            </w:tcBorders>
            <w:shd w:val="clear" w:color="000000" w:fill="FFFFFF"/>
            <w:vAlign w:val="center"/>
          </w:tcPr>
          <w:p w14:paraId="282390A5">
            <w:pPr>
              <w:widowControl/>
              <w:jc w:val="center"/>
              <w:rPr>
                <w:rFonts w:ascii="仿宋" w:hAnsi="仿宋" w:eastAsia="仿宋"/>
                <w:kern w:val="0"/>
                <w:sz w:val="24"/>
              </w:rPr>
            </w:pPr>
            <w:r>
              <w:rPr>
                <w:rFonts w:ascii="仿宋" w:hAnsi="仿宋" w:eastAsia="仿宋"/>
                <w:kern w:val="0"/>
                <w:sz w:val="24"/>
              </w:rPr>
              <w:t>再生障碍性贫血</w:t>
            </w:r>
          </w:p>
        </w:tc>
        <w:tc>
          <w:tcPr>
            <w:tcW w:w="1180" w:type="dxa"/>
            <w:tcBorders>
              <w:top w:val="nil"/>
              <w:left w:val="nil"/>
              <w:bottom w:val="single" w:color="auto" w:sz="4" w:space="0"/>
              <w:right w:val="single" w:color="auto" w:sz="4" w:space="0"/>
            </w:tcBorders>
            <w:vAlign w:val="center"/>
          </w:tcPr>
          <w:p w14:paraId="4C8BA4D6">
            <w:pPr>
              <w:widowControl/>
              <w:jc w:val="center"/>
              <w:rPr>
                <w:rFonts w:ascii="仿宋" w:hAnsi="仿宋" w:eastAsia="仿宋"/>
                <w:kern w:val="0"/>
                <w:sz w:val="24"/>
              </w:rPr>
            </w:pPr>
            <w:r>
              <w:rPr>
                <w:rFonts w:ascii="仿宋" w:hAnsi="仿宋" w:eastAsia="仿宋"/>
                <w:kern w:val="0"/>
                <w:sz w:val="24"/>
              </w:rPr>
              <w:t>90</w:t>
            </w:r>
          </w:p>
        </w:tc>
        <w:tc>
          <w:tcPr>
            <w:tcW w:w="1394" w:type="dxa"/>
            <w:tcBorders>
              <w:top w:val="nil"/>
              <w:left w:val="nil"/>
              <w:bottom w:val="single" w:color="auto" w:sz="4" w:space="0"/>
              <w:right w:val="single" w:color="auto" w:sz="4" w:space="0"/>
            </w:tcBorders>
            <w:vAlign w:val="center"/>
          </w:tcPr>
          <w:p w14:paraId="2ECD47DB">
            <w:pPr>
              <w:widowControl/>
              <w:jc w:val="center"/>
              <w:rPr>
                <w:rFonts w:ascii="仿宋" w:hAnsi="仿宋" w:eastAsia="仿宋" w:cs="宋体"/>
                <w:kern w:val="0"/>
                <w:sz w:val="24"/>
              </w:rPr>
            </w:pPr>
            <w:r>
              <w:rPr>
                <w:rFonts w:hint="eastAsia" w:ascii="仿宋" w:hAnsi="仿宋" w:eastAsia="仿宋" w:cs="宋体"/>
                <w:kern w:val="0"/>
                <w:sz w:val="24"/>
              </w:rPr>
              <w:t>20000</w:t>
            </w:r>
          </w:p>
        </w:tc>
        <w:tc>
          <w:tcPr>
            <w:tcW w:w="1174" w:type="dxa"/>
            <w:tcBorders>
              <w:top w:val="nil"/>
              <w:left w:val="nil"/>
              <w:bottom w:val="single" w:color="auto" w:sz="4" w:space="0"/>
              <w:right w:val="single" w:color="auto" w:sz="4" w:space="0"/>
            </w:tcBorders>
            <w:vAlign w:val="center"/>
          </w:tcPr>
          <w:p w14:paraId="4F92E6C3">
            <w:pPr>
              <w:widowControl/>
              <w:jc w:val="center"/>
              <w:rPr>
                <w:rFonts w:ascii="仿宋" w:hAnsi="仿宋" w:eastAsia="仿宋" w:cs="宋体"/>
                <w:kern w:val="0"/>
                <w:sz w:val="24"/>
              </w:rPr>
            </w:pPr>
            <w:r>
              <w:rPr>
                <w:rFonts w:hint="eastAsia" w:ascii="仿宋" w:hAnsi="仿宋" w:eastAsia="仿宋" w:cs="宋体"/>
                <w:kern w:val="0"/>
                <w:sz w:val="24"/>
              </w:rPr>
              <w:t>80</w:t>
            </w:r>
          </w:p>
        </w:tc>
        <w:tc>
          <w:tcPr>
            <w:tcW w:w="1560" w:type="dxa"/>
            <w:tcBorders>
              <w:top w:val="nil"/>
              <w:left w:val="nil"/>
              <w:bottom w:val="single" w:color="auto" w:sz="4" w:space="0"/>
              <w:right w:val="single" w:color="auto" w:sz="4" w:space="0"/>
            </w:tcBorders>
            <w:vAlign w:val="center"/>
          </w:tcPr>
          <w:p w14:paraId="2C17D5E9">
            <w:pPr>
              <w:widowControl/>
              <w:jc w:val="center"/>
              <w:rPr>
                <w:rFonts w:ascii="仿宋" w:hAnsi="仿宋" w:eastAsia="仿宋" w:cs="宋体"/>
                <w:kern w:val="0"/>
                <w:sz w:val="24"/>
              </w:rPr>
            </w:pPr>
            <w:r>
              <w:rPr>
                <w:rFonts w:hint="eastAsia" w:ascii="仿宋" w:hAnsi="仿宋" w:eastAsia="仿宋" w:cs="宋体"/>
                <w:kern w:val="0"/>
                <w:sz w:val="24"/>
              </w:rPr>
              <w:t>20000</w:t>
            </w:r>
          </w:p>
        </w:tc>
        <w:tc>
          <w:tcPr>
            <w:tcW w:w="1487" w:type="dxa"/>
            <w:tcBorders>
              <w:top w:val="nil"/>
              <w:left w:val="nil"/>
              <w:bottom w:val="single" w:color="auto" w:sz="4" w:space="0"/>
              <w:right w:val="single" w:color="auto" w:sz="4" w:space="0"/>
            </w:tcBorders>
            <w:vAlign w:val="center"/>
          </w:tcPr>
          <w:p w14:paraId="338317B7">
            <w:pPr>
              <w:widowControl/>
              <w:jc w:val="center"/>
              <w:rPr>
                <w:rFonts w:ascii="仿宋" w:hAnsi="仿宋" w:eastAsia="仿宋" w:cs="宋体"/>
                <w:kern w:val="0"/>
                <w:sz w:val="24"/>
              </w:rPr>
            </w:pPr>
            <w:r>
              <w:rPr>
                <w:rFonts w:hint="eastAsia" w:ascii="仿宋" w:hAnsi="仿宋" w:eastAsia="仿宋" w:cs="宋体"/>
                <w:kern w:val="0"/>
                <w:sz w:val="24"/>
              </w:rPr>
              <w:t>1年</w:t>
            </w:r>
          </w:p>
        </w:tc>
      </w:tr>
      <w:tr w14:paraId="39C3AD1B">
        <w:tblPrEx>
          <w:tblCellMar>
            <w:top w:w="0" w:type="dxa"/>
            <w:left w:w="0" w:type="dxa"/>
            <w:bottom w:w="0" w:type="dxa"/>
            <w:right w:w="0" w:type="dxa"/>
          </w:tblCellMar>
        </w:tblPrEx>
        <w:trPr>
          <w:trHeight w:val="501" w:hRule="atLeast"/>
          <w:jc w:val="right"/>
        </w:trPr>
        <w:tc>
          <w:tcPr>
            <w:tcW w:w="755" w:type="dxa"/>
            <w:tcBorders>
              <w:top w:val="nil"/>
              <w:left w:val="single" w:color="auto" w:sz="4" w:space="0"/>
              <w:bottom w:val="single" w:color="auto" w:sz="4" w:space="0"/>
              <w:right w:val="single" w:color="auto" w:sz="4" w:space="0"/>
            </w:tcBorders>
            <w:shd w:val="clear" w:color="auto" w:fill="auto"/>
            <w:vAlign w:val="center"/>
          </w:tcPr>
          <w:p w14:paraId="211B0967">
            <w:pPr>
              <w:widowControl/>
              <w:jc w:val="center"/>
              <w:rPr>
                <w:rFonts w:ascii="仿宋" w:hAnsi="仿宋" w:eastAsia="仿宋"/>
                <w:kern w:val="0"/>
                <w:sz w:val="24"/>
              </w:rPr>
            </w:pPr>
            <w:r>
              <w:rPr>
                <w:rFonts w:hint="eastAsia" w:ascii="仿宋" w:hAnsi="仿宋" w:eastAsia="仿宋"/>
                <w:kern w:val="0"/>
                <w:sz w:val="24"/>
              </w:rPr>
              <w:t>60</w:t>
            </w:r>
          </w:p>
        </w:tc>
        <w:tc>
          <w:tcPr>
            <w:tcW w:w="822" w:type="dxa"/>
            <w:vMerge w:val="continue"/>
            <w:tcBorders>
              <w:left w:val="single" w:color="auto" w:sz="4" w:space="0"/>
              <w:right w:val="single" w:color="auto" w:sz="4" w:space="0"/>
            </w:tcBorders>
            <w:shd w:val="clear" w:color="auto" w:fill="auto"/>
            <w:vAlign w:val="center"/>
          </w:tcPr>
          <w:p w14:paraId="209BA526">
            <w:pPr>
              <w:jc w:val="center"/>
              <w:rPr>
                <w:rFonts w:ascii="仿宋" w:hAnsi="仿宋" w:eastAsia="仿宋"/>
                <w:kern w:val="0"/>
                <w:sz w:val="24"/>
              </w:rPr>
            </w:pPr>
          </w:p>
        </w:tc>
        <w:tc>
          <w:tcPr>
            <w:tcW w:w="1386" w:type="dxa"/>
            <w:tcBorders>
              <w:top w:val="nil"/>
              <w:left w:val="nil"/>
              <w:bottom w:val="single" w:color="auto" w:sz="4" w:space="0"/>
              <w:right w:val="single" w:color="auto" w:sz="4" w:space="0"/>
            </w:tcBorders>
            <w:shd w:val="clear" w:color="000000" w:fill="FFFFFF"/>
            <w:vAlign w:val="center"/>
          </w:tcPr>
          <w:p w14:paraId="300DD358">
            <w:pPr>
              <w:widowControl/>
              <w:jc w:val="center"/>
              <w:rPr>
                <w:rFonts w:ascii="仿宋" w:hAnsi="仿宋" w:eastAsia="仿宋"/>
                <w:kern w:val="0"/>
                <w:sz w:val="24"/>
              </w:rPr>
            </w:pPr>
            <w:r>
              <w:rPr>
                <w:rFonts w:ascii="仿宋" w:hAnsi="仿宋" w:eastAsia="仿宋"/>
                <w:kern w:val="0"/>
                <w:sz w:val="24"/>
              </w:rPr>
              <w:t>M07803</w:t>
            </w:r>
          </w:p>
        </w:tc>
        <w:tc>
          <w:tcPr>
            <w:tcW w:w="3598" w:type="dxa"/>
            <w:tcBorders>
              <w:top w:val="nil"/>
              <w:left w:val="nil"/>
              <w:bottom w:val="single" w:color="auto" w:sz="4" w:space="0"/>
              <w:right w:val="single" w:color="auto" w:sz="4" w:space="0"/>
            </w:tcBorders>
            <w:shd w:val="clear" w:color="000000" w:fill="FFFFFF"/>
            <w:vAlign w:val="center"/>
          </w:tcPr>
          <w:p w14:paraId="5D323912">
            <w:pPr>
              <w:widowControl/>
              <w:jc w:val="center"/>
              <w:rPr>
                <w:rFonts w:ascii="仿宋" w:hAnsi="仿宋" w:eastAsia="仿宋"/>
                <w:kern w:val="0"/>
                <w:sz w:val="24"/>
              </w:rPr>
            </w:pPr>
            <w:r>
              <w:rPr>
                <w:rFonts w:ascii="仿宋" w:hAnsi="仿宋" w:eastAsia="仿宋"/>
                <w:kern w:val="0"/>
                <w:sz w:val="24"/>
              </w:rPr>
              <w:t>血液透析</w:t>
            </w:r>
          </w:p>
        </w:tc>
        <w:tc>
          <w:tcPr>
            <w:tcW w:w="1180" w:type="dxa"/>
            <w:tcBorders>
              <w:top w:val="nil"/>
              <w:left w:val="nil"/>
              <w:bottom w:val="single" w:color="auto" w:sz="4" w:space="0"/>
              <w:right w:val="single" w:color="auto" w:sz="4" w:space="0"/>
            </w:tcBorders>
            <w:vAlign w:val="center"/>
          </w:tcPr>
          <w:p w14:paraId="1C52CDA7">
            <w:pPr>
              <w:widowControl/>
              <w:jc w:val="center"/>
              <w:rPr>
                <w:rFonts w:ascii="仿宋" w:hAnsi="仿宋" w:eastAsia="仿宋"/>
                <w:kern w:val="0"/>
                <w:sz w:val="24"/>
              </w:rPr>
            </w:pPr>
            <w:r>
              <w:rPr>
                <w:rFonts w:ascii="仿宋" w:hAnsi="仿宋" w:eastAsia="仿宋"/>
                <w:kern w:val="0"/>
                <w:sz w:val="24"/>
              </w:rPr>
              <w:t>90</w:t>
            </w:r>
          </w:p>
        </w:tc>
        <w:tc>
          <w:tcPr>
            <w:tcW w:w="1394" w:type="dxa"/>
            <w:tcBorders>
              <w:top w:val="nil"/>
              <w:left w:val="nil"/>
              <w:bottom w:val="single" w:color="auto" w:sz="4" w:space="0"/>
              <w:right w:val="single" w:color="auto" w:sz="4" w:space="0"/>
            </w:tcBorders>
            <w:vAlign w:val="center"/>
          </w:tcPr>
          <w:p w14:paraId="7414DE1D">
            <w:pPr>
              <w:widowControl/>
              <w:jc w:val="center"/>
              <w:rPr>
                <w:rFonts w:ascii="仿宋" w:hAnsi="仿宋" w:eastAsia="仿宋" w:cs="宋体"/>
                <w:kern w:val="0"/>
                <w:sz w:val="24"/>
              </w:rPr>
            </w:pPr>
            <w:r>
              <w:rPr>
                <w:rFonts w:hint="eastAsia" w:ascii="仿宋" w:hAnsi="仿宋" w:eastAsia="仿宋" w:cs="宋体"/>
                <w:kern w:val="0"/>
                <w:sz w:val="24"/>
              </w:rPr>
              <w:t>80000</w:t>
            </w:r>
          </w:p>
        </w:tc>
        <w:tc>
          <w:tcPr>
            <w:tcW w:w="1174" w:type="dxa"/>
            <w:tcBorders>
              <w:top w:val="nil"/>
              <w:left w:val="nil"/>
              <w:bottom w:val="single" w:color="auto" w:sz="4" w:space="0"/>
              <w:right w:val="single" w:color="auto" w:sz="4" w:space="0"/>
            </w:tcBorders>
            <w:vAlign w:val="center"/>
          </w:tcPr>
          <w:p w14:paraId="224F73ED">
            <w:pPr>
              <w:widowControl/>
              <w:jc w:val="center"/>
              <w:rPr>
                <w:rFonts w:ascii="仿宋" w:hAnsi="仿宋" w:eastAsia="仿宋" w:cs="宋体"/>
                <w:kern w:val="0"/>
                <w:sz w:val="24"/>
              </w:rPr>
            </w:pPr>
            <w:r>
              <w:rPr>
                <w:rFonts w:hint="eastAsia" w:ascii="仿宋" w:hAnsi="仿宋" w:eastAsia="仿宋" w:cs="宋体"/>
                <w:kern w:val="0"/>
                <w:sz w:val="24"/>
              </w:rPr>
              <w:t>80</w:t>
            </w:r>
          </w:p>
        </w:tc>
        <w:tc>
          <w:tcPr>
            <w:tcW w:w="1560" w:type="dxa"/>
            <w:tcBorders>
              <w:top w:val="nil"/>
              <w:left w:val="nil"/>
              <w:bottom w:val="single" w:color="auto" w:sz="4" w:space="0"/>
              <w:right w:val="single" w:color="auto" w:sz="4" w:space="0"/>
            </w:tcBorders>
            <w:vAlign w:val="center"/>
          </w:tcPr>
          <w:p w14:paraId="380BAC49">
            <w:pPr>
              <w:widowControl/>
              <w:jc w:val="center"/>
              <w:rPr>
                <w:rFonts w:ascii="仿宋" w:hAnsi="仿宋" w:eastAsia="仿宋" w:cs="宋体"/>
                <w:kern w:val="0"/>
                <w:sz w:val="24"/>
              </w:rPr>
            </w:pPr>
            <w:r>
              <w:rPr>
                <w:rFonts w:hint="eastAsia" w:ascii="仿宋" w:hAnsi="仿宋" w:eastAsia="仿宋" w:cs="宋体"/>
                <w:kern w:val="0"/>
                <w:sz w:val="24"/>
              </w:rPr>
              <w:t>80000</w:t>
            </w:r>
          </w:p>
        </w:tc>
        <w:tc>
          <w:tcPr>
            <w:tcW w:w="1487" w:type="dxa"/>
            <w:tcBorders>
              <w:top w:val="nil"/>
              <w:left w:val="nil"/>
              <w:bottom w:val="single" w:color="auto" w:sz="4" w:space="0"/>
              <w:right w:val="single" w:color="auto" w:sz="4" w:space="0"/>
            </w:tcBorders>
            <w:vAlign w:val="center"/>
          </w:tcPr>
          <w:p w14:paraId="6EC838EC">
            <w:pPr>
              <w:widowControl/>
              <w:jc w:val="center"/>
              <w:rPr>
                <w:rFonts w:ascii="仿宋" w:hAnsi="仿宋" w:eastAsia="仿宋" w:cs="宋体"/>
                <w:kern w:val="0"/>
                <w:sz w:val="24"/>
              </w:rPr>
            </w:pPr>
            <w:r>
              <w:rPr>
                <w:rFonts w:hint="eastAsia" w:ascii="仿宋" w:hAnsi="仿宋" w:eastAsia="仿宋" w:cs="宋体"/>
                <w:kern w:val="0"/>
                <w:sz w:val="24"/>
              </w:rPr>
              <w:t>长期</w:t>
            </w:r>
          </w:p>
        </w:tc>
      </w:tr>
      <w:tr w14:paraId="31AC676B">
        <w:tblPrEx>
          <w:tblCellMar>
            <w:top w:w="0" w:type="dxa"/>
            <w:left w:w="0" w:type="dxa"/>
            <w:bottom w:w="0" w:type="dxa"/>
            <w:right w:w="0" w:type="dxa"/>
          </w:tblCellMar>
        </w:tblPrEx>
        <w:trPr>
          <w:trHeight w:val="501" w:hRule="atLeast"/>
          <w:jc w:val="right"/>
        </w:trPr>
        <w:tc>
          <w:tcPr>
            <w:tcW w:w="755" w:type="dxa"/>
            <w:tcBorders>
              <w:top w:val="nil"/>
              <w:left w:val="single" w:color="auto" w:sz="4" w:space="0"/>
              <w:bottom w:val="single" w:color="auto" w:sz="4" w:space="0"/>
              <w:right w:val="single" w:color="auto" w:sz="4" w:space="0"/>
            </w:tcBorders>
            <w:shd w:val="clear" w:color="auto" w:fill="auto"/>
            <w:vAlign w:val="center"/>
          </w:tcPr>
          <w:p w14:paraId="5E9F1902">
            <w:pPr>
              <w:widowControl/>
              <w:jc w:val="center"/>
              <w:rPr>
                <w:rFonts w:ascii="仿宋" w:hAnsi="仿宋" w:eastAsia="仿宋"/>
                <w:kern w:val="0"/>
                <w:sz w:val="24"/>
              </w:rPr>
            </w:pPr>
            <w:r>
              <w:rPr>
                <w:rFonts w:hint="eastAsia" w:ascii="仿宋" w:hAnsi="仿宋" w:eastAsia="仿宋"/>
                <w:kern w:val="0"/>
                <w:sz w:val="24"/>
              </w:rPr>
              <w:t>61</w:t>
            </w:r>
          </w:p>
        </w:tc>
        <w:tc>
          <w:tcPr>
            <w:tcW w:w="822" w:type="dxa"/>
            <w:vMerge w:val="continue"/>
            <w:tcBorders>
              <w:left w:val="single" w:color="auto" w:sz="4" w:space="0"/>
              <w:right w:val="single" w:color="auto" w:sz="4" w:space="0"/>
            </w:tcBorders>
            <w:shd w:val="clear" w:color="auto" w:fill="auto"/>
            <w:vAlign w:val="center"/>
          </w:tcPr>
          <w:p w14:paraId="7A3748FA">
            <w:pPr>
              <w:widowControl/>
              <w:jc w:val="center"/>
              <w:rPr>
                <w:rFonts w:ascii="仿宋" w:hAnsi="仿宋" w:eastAsia="仿宋"/>
                <w:kern w:val="0"/>
                <w:sz w:val="24"/>
              </w:rPr>
            </w:pPr>
          </w:p>
        </w:tc>
        <w:tc>
          <w:tcPr>
            <w:tcW w:w="1386" w:type="dxa"/>
            <w:tcBorders>
              <w:top w:val="nil"/>
              <w:left w:val="nil"/>
              <w:bottom w:val="single" w:color="auto" w:sz="4" w:space="0"/>
              <w:right w:val="single" w:color="auto" w:sz="4" w:space="0"/>
            </w:tcBorders>
            <w:shd w:val="clear" w:color="000000" w:fill="FFFFFF"/>
            <w:vAlign w:val="center"/>
          </w:tcPr>
          <w:p w14:paraId="0DA950CF">
            <w:pPr>
              <w:widowControl/>
              <w:jc w:val="center"/>
              <w:rPr>
                <w:rFonts w:ascii="仿宋" w:hAnsi="仿宋" w:eastAsia="仿宋"/>
                <w:kern w:val="0"/>
                <w:sz w:val="24"/>
              </w:rPr>
            </w:pPr>
            <w:r>
              <w:rPr>
                <w:rFonts w:ascii="仿宋" w:hAnsi="仿宋" w:eastAsia="仿宋"/>
                <w:kern w:val="0"/>
                <w:sz w:val="24"/>
              </w:rPr>
              <w:t>M07804</w:t>
            </w:r>
          </w:p>
        </w:tc>
        <w:tc>
          <w:tcPr>
            <w:tcW w:w="3598" w:type="dxa"/>
            <w:tcBorders>
              <w:top w:val="nil"/>
              <w:left w:val="nil"/>
              <w:bottom w:val="single" w:color="auto" w:sz="4" w:space="0"/>
              <w:right w:val="single" w:color="auto" w:sz="4" w:space="0"/>
            </w:tcBorders>
            <w:shd w:val="clear" w:color="000000" w:fill="FFFFFF"/>
            <w:vAlign w:val="center"/>
          </w:tcPr>
          <w:p w14:paraId="7FCAC1D9">
            <w:pPr>
              <w:widowControl/>
              <w:jc w:val="center"/>
              <w:rPr>
                <w:rFonts w:ascii="仿宋" w:hAnsi="仿宋" w:eastAsia="仿宋"/>
                <w:kern w:val="0"/>
                <w:sz w:val="24"/>
              </w:rPr>
            </w:pPr>
            <w:r>
              <w:rPr>
                <w:rFonts w:ascii="仿宋" w:hAnsi="仿宋" w:eastAsia="仿宋"/>
                <w:kern w:val="0"/>
                <w:sz w:val="24"/>
              </w:rPr>
              <w:t>腹膜透析</w:t>
            </w:r>
          </w:p>
        </w:tc>
        <w:tc>
          <w:tcPr>
            <w:tcW w:w="1180" w:type="dxa"/>
            <w:tcBorders>
              <w:top w:val="nil"/>
              <w:left w:val="nil"/>
              <w:bottom w:val="single" w:color="auto" w:sz="4" w:space="0"/>
              <w:right w:val="single" w:color="auto" w:sz="4" w:space="0"/>
            </w:tcBorders>
            <w:vAlign w:val="center"/>
          </w:tcPr>
          <w:p w14:paraId="08F3AB5A">
            <w:pPr>
              <w:widowControl/>
              <w:jc w:val="center"/>
              <w:rPr>
                <w:rFonts w:ascii="仿宋" w:hAnsi="仿宋" w:eastAsia="仿宋"/>
                <w:kern w:val="0"/>
                <w:sz w:val="24"/>
              </w:rPr>
            </w:pPr>
            <w:r>
              <w:rPr>
                <w:rFonts w:ascii="仿宋" w:hAnsi="仿宋" w:eastAsia="仿宋"/>
                <w:kern w:val="0"/>
                <w:sz w:val="24"/>
              </w:rPr>
              <w:t>90</w:t>
            </w:r>
          </w:p>
        </w:tc>
        <w:tc>
          <w:tcPr>
            <w:tcW w:w="1394" w:type="dxa"/>
            <w:tcBorders>
              <w:top w:val="nil"/>
              <w:left w:val="nil"/>
              <w:bottom w:val="single" w:color="auto" w:sz="4" w:space="0"/>
              <w:right w:val="single" w:color="auto" w:sz="4" w:space="0"/>
            </w:tcBorders>
            <w:vAlign w:val="center"/>
          </w:tcPr>
          <w:p w14:paraId="0AC2BC45">
            <w:pPr>
              <w:widowControl/>
              <w:jc w:val="center"/>
              <w:rPr>
                <w:rFonts w:ascii="仿宋" w:hAnsi="仿宋" w:eastAsia="仿宋" w:cs="宋体"/>
                <w:kern w:val="0"/>
                <w:sz w:val="24"/>
              </w:rPr>
            </w:pPr>
            <w:r>
              <w:rPr>
                <w:rFonts w:hint="eastAsia" w:ascii="仿宋" w:hAnsi="仿宋" w:eastAsia="仿宋" w:cs="宋体"/>
                <w:kern w:val="0"/>
                <w:sz w:val="24"/>
              </w:rPr>
              <w:t>60000</w:t>
            </w:r>
          </w:p>
        </w:tc>
        <w:tc>
          <w:tcPr>
            <w:tcW w:w="1174" w:type="dxa"/>
            <w:tcBorders>
              <w:top w:val="nil"/>
              <w:left w:val="nil"/>
              <w:bottom w:val="single" w:color="auto" w:sz="4" w:space="0"/>
              <w:right w:val="single" w:color="auto" w:sz="4" w:space="0"/>
            </w:tcBorders>
            <w:vAlign w:val="center"/>
          </w:tcPr>
          <w:p w14:paraId="6ADFE9E7">
            <w:pPr>
              <w:widowControl/>
              <w:jc w:val="center"/>
              <w:rPr>
                <w:rFonts w:ascii="仿宋" w:hAnsi="仿宋" w:eastAsia="仿宋" w:cs="宋体"/>
                <w:kern w:val="0"/>
                <w:sz w:val="24"/>
              </w:rPr>
            </w:pPr>
            <w:r>
              <w:rPr>
                <w:rFonts w:hint="eastAsia" w:ascii="仿宋" w:hAnsi="仿宋" w:eastAsia="仿宋" w:cs="宋体"/>
                <w:kern w:val="0"/>
                <w:sz w:val="24"/>
              </w:rPr>
              <w:t>80</w:t>
            </w:r>
          </w:p>
        </w:tc>
        <w:tc>
          <w:tcPr>
            <w:tcW w:w="1560" w:type="dxa"/>
            <w:tcBorders>
              <w:top w:val="nil"/>
              <w:left w:val="nil"/>
              <w:bottom w:val="single" w:color="auto" w:sz="4" w:space="0"/>
              <w:right w:val="single" w:color="auto" w:sz="4" w:space="0"/>
            </w:tcBorders>
            <w:vAlign w:val="center"/>
          </w:tcPr>
          <w:p w14:paraId="7B272655">
            <w:pPr>
              <w:widowControl/>
              <w:jc w:val="center"/>
              <w:rPr>
                <w:rFonts w:ascii="仿宋" w:hAnsi="仿宋" w:eastAsia="仿宋" w:cs="宋体"/>
                <w:kern w:val="0"/>
                <w:sz w:val="24"/>
              </w:rPr>
            </w:pPr>
            <w:r>
              <w:rPr>
                <w:rFonts w:hint="eastAsia" w:ascii="仿宋" w:hAnsi="仿宋" w:eastAsia="仿宋" w:cs="宋体"/>
                <w:kern w:val="0"/>
                <w:sz w:val="24"/>
              </w:rPr>
              <w:t>60000</w:t>
            </w:r>
          </w:p>
        </w:tc>
        <w:tc>
          <w:tcPr>
            <w:tcW w:w="1487" w:type="dxa"/>
            <w:tcBorders>
              <w:top w:val="nil"/>
              <w:left w:val="nil"/>
              <w:bottom w:val="single" w:color="auto" w:sz="4" w:space="0"/>
              <w:right w:val="single" w:color="auto" w:sz="4" w:space="0"/>
            </w:tcBorders>
            <w:vAlign w:val="center"/>
          </w:tcPr>
          <w:p w14:paraId="3F0BD2C8">
            <w:pPr>
              <w:widowControl/>
              <w:jc w:val="center"/>
              <w:rPr>
                <w:rFonts w:ascii="仿宋" w:hAnsi="仿宋" w:eastAsia="仿宋" w:cs="宋体"/>
                <w:kern w:val="0"/>
                <w:sz w:val="24"/>
              </w:rPr>
            </w:pPr>
            <w:r>
              <w:rPr>
                <w:rFonts w:hint="eastAsia" w:ascii="仿宋" w:hAnsi="仿宋" w:eastAsia="仿宋" w:cs="宋体"/>
                <w:kern w:val="0"/>
                <w:sz w:val="24"/>
              </w:rPr>
              <w:t>长期</w:t>
            </w:r>
          </w:p>
        </w:tc>
      </w:tr>
      <w:tr w14:paraId="4242A188">
        <w:tblPrEx>
          <w:tblCellMar>
            <w:top w:w="0" w:type="dxa"/>
            <w:left w:w="0" w:type="dxa"/>
            <w:bottom w:w="0" w:type="dxa"/>
            <w:right w:w="0" w:type="dxa"/>
          </w:tblCellMar>
        </w:tblPrEx>
        <w:trPr>
          <w:trHeight w:val="501" w:hRule="atLeast"/>
          <w:jc w:val="right"/>
        </w:trPr>
        <w:tc>
          <w:tcPr>
            <w:tcW w:w="755" w:type="dxa"/>
            <w:tcBorders>
              <w:top w:val="nil"/>
              <w:left w:val="single" w:color="auto" w:sz="4" w:space="0"/>
              <w:bottom w:val="single" w:color="auto" w:sz="4" w:space="0"/>
              <w:right w:val="single" w:color="auto" w:sz="4" w:space="0"/>
            </w:tcBorders>
            <w:shd w:val="clear" w:color="auto" w:fill="auto"/>
            <w:vAlign w:val="center"/>
          </w:tcPr>
          <w:p w14:paraId="08729020">
            <w:pPr>
              <w:widowControl/>
              <w:jc w:val="center"/>
              <w:rPr>
                <w:rFonts w:ascii="仿宋" w:hAnsi="仿宋" w:eastAsia="仿宋"/>
                <w:kern w:val="0"/>
                <w:sz w:val="24"/>
              </w:rPr>
            </w:pPr>
            <w:r>
              <w:rPr>
                <w:rFonts w:hint="eastAsia" w:ascii="仿宋" w:hAnsi="仿宋" w:eastAsia="仿宋"/>
                <w:kern w:val="0"/>
                <w:sz w:val="24"/>
              </w:rPr>
              <w:t>62</w:t>
            </w:r>
          </w:p>
        </w:tc>
        <w:tc>
          <w:tcPr>
            <w:tcW w:w="822" w:type="dxa"/>
            <w:vMerge w:val="continue"/>
            <w:tcBorders>
              <w:left w:val="single" w:color="auto" w:sz="4" w:space="0"/>
              <w:right w:val="single" w:color="auto" w:sz="4" w:space="0"/>
            </w:tcBorders>
            <w:shd w:val="clear" w:color="auto" w:fill="auto"/>
            <w:vAlign w:val="center"/>
          </w:tcPr>
          <w:p w14:paraId="22416120">
            <w:pPr>
              <w:widowControl/>
              <w:jc w:val="left"/>
              <w:rPr>
                <w:rFonts w:ascii="仿宋" w:hAnsi="仿宋" w:eastAsia="仿宋"/>
                <w:kern w:val="0"/>
                <w:sz w:val="24"/>
              </w:rPr>
            </w:pPr>
          </w:p>
        </w:tc>
        <w:tc>
          <w:tcPr>
            <w:tcW w:w="1386" w:type="dxa"/>
            <w:tcBorders>
              <w:top w:val="nil"/>
              <w:left w:val="nil"/>
              <w:bottom w:val="single" w:color="auto" w:sz="4" w:space="0"/>
              <w:right w:val="single" w:color="auto" w:sz="4" w:space="0"/>
            </w:tcBorders>
            <w:shd w:val="clear" w:color="000000" w:fill="FFFFFF"/>
            <w:vAlign w:val="center"/>
          </w:tcPr>
          <w:p w14:paraId="3D991D23">
            <w:pPr>
              <w:widowControl/>
              <w:jc w:val="center"/>
              <w:rPr>
                <w:rFonts w:ascii="仿宋" w:hAnsi="仿宋" w:eastAsia="仿宋"/>
                <w:kern w:val="0"/>
                <w:sz w:val="24"/>
              </w:rPr>
            </w:pPr>
            <w:r>
              <w:rPr>
                <w:rFonts w:ascii="仿宋" w:hAnsi="仿宋" w:eastAsia="仿宋"/>
                <w:kern w:val="0"/>
                <w:sz w:val="24"/>
              </w:rPr>
              <w:t>M00500</w:t>
            </w:r>
          </w:p>
        </w:tc>
        <w:tc>
          <w:tcPr>
            <w:tcW w:w="3598" w:type="dxa"/>
            <w:tcBorders>
              <w:top w:val="nil"/>
              <w:left w:val="nil"/>
              <w:bottom w:val="single" w:color="auto" w:sz="4" w:space="0"/>
              <w:right w:val="single" w:color="auto" w:sz="4" w:space="0"/>
            </w:tcBorders>
            <w:shd w:val="clear" w:color="000000" w:fill="FFFFFF"/>
            <w:vAlign w:val="center"/>
          </w:tcPr>
          <w:p w14:paraId="5F113E27">
            <w:pPr>
              <w:widowControl/>
              <w:jc w:val="center"/>
              <w:rPr>
                <w:rFonts w:ascii="仿宋" w:hAnsi="仿宋" w:eastAsia="仿宋"/>
                <w:kern w:val="0"/>
                <w:sz w:val="24"/>
              </w:rPr>
            </w:pPr>
            <w:r>
              <w:rPr>
                <w:rFonts w:ascii="仿宋" w:hAnsi="仿宋" w:eastAsia="仿宋"/>
                <w:kern w:val="0"/>
                <w:sz w:val="24"/>
              </w:rPr>
              <w:t>恶性肿瘤门诊治疗</w:t>
            </w:r>
          </w:p>
        </w:tc>
        <w:tc>
          <w:tcPr>
            <w:tcW w:w="1180" w:type="dxa"/>
            <w:tcBorders>
              <w:top w:val="nil"/>
              <w:left w:val="nil"/>
              <w:bottom w:val="single" w:color="auto" w:sz="4" w:space="0"/>
              <w:right w:val="single" w:color="auto" w:sz="4" w:space="0"/>
            </w:tcBorders>
            <w:vAlign w:val="center"/>
          </w:tcPr>
          <w:p w14:paraId="4543BBD3">
            <w:pPr>
              <w:widowControl/>
              <w:jc w:val="center"/>
              <w:rPr>
                <w:rFonts w:ascii="仿宋" w:hAnsi="仿宋" w:eastAsia="仿宋"/>
                <w:kern w:val="0"/>
                <w:sz w:val="24"/>
              </w:rPr>
            </w:pPr>
            <w:r>
              <w:rPr>
                <w:rFonts w:ascii="仿宋" w:hAnsi="仿宋" w:eastAsia="仿宋"/>
                <w:kern w:val="0"/>
                <w:sz w:val="24"/>
              </w:rPr>
              <w:t>90</w:t>
            </w:r>
          </w:p>
        </w:tc>
        <w:tc>
          <w:tcPr>
            <w:tcW w:w="1394" w:type="dxa"/>
            <w:tcBorders>
              <w:top w:val="nil"/>
              <w:left w:val="nil"/>
              <w:bottom w:val="single" w:color="auto" w:sz="4" w:space="0"/>
              <w:right w:val="single" w:color="auto" w:sz="4" w:space="0"/>
            </w:tcBorders>
            <w:vAlign w:val="center"/>
          </w:tcPr>
          <w:p w14:paraId="6579C8A2">
            <w:pPr>
              <w:widowControl/>
              <w:jc w:val="center"/>
              <w:rPr>
                <w:rFonts w:ascii="仿宋" w:hAnsi="仿宋" w:eastAsia="仿宋" w:cs="宋体"/>
                <w:kern w:val="0"/>
                <w:sz w:val="24"/>
              </w:rPr>
            </w:pPr>
            <w:r>
              <w:rPr>
                <w:rFonts w:hint="eastAsia" w:ascii="仿宋" w:hAnsi="仿宋" w:eastAsia="仿宋" w:cs="宋体"/>
                <w:kern w:val="0"/>
                <w:sz w:val="24"/>
              </w:rPr>
              <w:t>10000</w:t>
            </w:r>
          </w:p>
        </w:tc>
        <w:tc>
          <w:tcPr>
            <w:tcW w:w="1174" w:type="dxa"/>
            <w:tcBorders>
              <w:top w:val="nil"/>
              <w:left w:val="nil"/>
              <w:bottom w:val="single" w:color="auto" w:sz="4" w:space="0"/>
              <w:right w:val="single" w:color="auto" w:sz="4" w:space="0"/>
            </w:tcBorders>
            <w:vAlign w:val="center"/>
          </w:tcPr>
          <w:p w14:paraId="33AAA6BB">
            <w:pPr>
              <w:widowControl/>
              <w:jc w:val="center"/>
              <w:rPr>
                <w:rFonts w:ascii="仿宋" w:hAnsi="仿宋" w:eastAsia="仿宋" w:cs="宋体"/>
                <w:kern w:val="0"/>
                <w:sz w:val="24"/>
              </w:rPr>
            </w:pPr>
            <w:r>
              <w:rPr>
                <w:rFonts w:hint="eastAsia" w:ascii="仿宋" w:hAnsi="仿宋" w:eastAsia="仿宋" w:cs="宋体"/>
                <w:kern w:val="0"/>
                <w:sz w:val="24"/>
              </w:rPr>
              <w:t>80</w:t>
            </w:r>
          </w:p>
        </w:tc>
        <w:tc>
          <w:tcPr>
            <w:tcW w:w="1560" w:type="dxa"/>
            <w:tcBorders>
              <w:top w:val="nil"/>
              <w:left w:val="nil"/>
              <w:bottom w:val="single" w:color="auto" w:sz="4" w:space="0"/>
              <w:right w:val="single" w:color="auto" w:sz="4" w:space="0"/>
            </w:tcBorders>
            <w:vAlign w:val="center"/>
          </w:tcPr>
          <w:p w14:paraId="698FF51B">
            <w:pPr>
              <w:widowControl/>
              <w:jc w:val="center"/>
              <w:rPr>
                <w:rFonts w:ascii="仿宋" w:hAnsi="仿宋" w:eastAsia="仿宋" w:cs="宋体"/>
                <w:kern w:val="0"/>
                <w:sz w:val="24"/>
              </w:rPr>
            </w:pPr>
            <w:r>
              <w:rPr>
                <w:rFonts w:hint="eastAsia" w:ascii="仿宋" w:hAnsi="仿宋" w:eastAsia="仿宋" w:cs="宋体"/>
                <w:kern w:val="0"/>
                <w:sz w:val="24"/>
              </w:rPr>
              <w:t>10000</w:t>
            </w:r>
          </w:p>
        </w:tc>
        <w:tc>
          <w:tcPr>
            <w:tcW w:w="1487" w:type="dxa"/>
            <w:tcBorders>
              <w:top w:val="nil"/>
              <w:left w:val="nil"/>
              <w:bottom w:val="single" w:color="auto" w:sz="4" w:space="0"/>
              <w:right w:val="single" w:color="auto" w:sz="4" w:space="0"/>
            </w:tcBorders>
            <w:vAlign w:val="center"/>
          </w:tcPr>
          <w:p w14:paraId="54377B08">
            <w:pPr>
              <w:widowControl/>
              <w:jc w:val="center"/>
              <w:rPr>
                <w:rFonts w:ascii="仿宋" w:hAnsi="仿宋" w:eastAsia="仿宋" w:cs="宋体"/>
                <w:kern w:val="0"/>
                <w:sz w:val="24"/>
              </w:rPr>
            </w:pPr>
            <w:r>
              <w:rPr>
                <w:rFonts w:hint="eastAsia" w:ascii="仿宋" w:hAnsi="仿宋" w:eastAsia="仿宋" w:cs="宋体"/>
                <w:kern w:val="0"/>
                <w:sz w:val="24"/>
              </w:rPr>
              <w:t>2年</w:t>
            </w:r>
          </w:p>
        </w:tc>
      </w:tr>
      <w:tr w14:paraId="7442CFA2">
        <w:tblPrEx>
          <w:tblCellMar>
            <w:top w:w="0" w:type="dxa"/>
            <w:left w:w="0" w:type="dxa"/>
            <w:bottom w:w="0" w:type="dxa"/>
            <w:right w:w="0" w:type="dxa"/>
          </w:tblCellMar>
        </w:tblPrEx>
        <w:trPr>
          <w:trHeight w:val="501" w:hRule="atLeast"/>
          <w:jc w:val="right"/>
        </w:trPr>
        <w:tc>
          <w:tcPr>
            <w:tcW w:w="755" w:type="dxa"/>
            <w:tcBorders>
              <w:top w:val="nil"/>
              <w:left w:val="single" w:color="auto" w:sz="4" w:space="0"/>
              <w:bottom w:val="single" w:color="auto" w:sz="4" w:space="0"/>
              <w:right w:val="single" w:color="auto" w:sz="4" w:space="0"/>
            </w:tcBorders>
            <w:shd w:val="clear" w:color="auto" w:fill="auto"/>
            <w:vAlign w:val="center"/>
          </w:tcPr>
          <w:p w14:paraId="4A27EEEA">
            <w:pPr>
              <w:widowControl/>
              <w:jc w:val="center"/>
              <w:rPr>
                <w:rFonts w:ascii="仿宋" w:hAnsi="仿宋" w:eastAsia="仿宋"/>
                <w:kern w:val="0"/>
                <w:sz w:val="24"/>
              </w:rPr>
            </w:pPr>
            <w:r>
              <w:rPr>
                <w:rFonts w:hint="eastAsia" w:ascii="仿宋" w:hAnsi="仿宋" w:eastAsia="仿宋"/>
                <w:kern w:val="0"/>
                <w:sz w:val="24"/>
              </w:rPr>
              <w:t>63</w:t>
            </w:r>
          </w:p>
        </w:tc>
        <w:tc>
          <w:tcPr>
            <w:tcW w:w="822" w:type="dxa"/>
            <w:vMerge w:val="continue"/>
            <w:tcBorders>
              <w:left w:val="single" w:color="auto" w:sz="4" w:space="0"/>
              <w:right w:val="single" w:color="auto" w:sz="4" w:space="0"/>
            </w:tcBorders>
            <w:shd w:val="clear" w:color="auto" w:fill="auto"/>
            <w:vAlign w:val="center"/>
          </w:tcPr>
          <w:p w14:paraId="726C14C6">
            <w:pPr>
              <w:widowControl/>
              <w:jc w:val="left"/>
              <w:rPr>
                <w:rFonts w:ascii="仿宋" w:hAnsi="仿宋" w:eastAsia="仿宋"/>
                <w:kern w:val="0"/>
                <w:sz w:val="24"/>
              </w:rPr>
            </w:pPr>
          </w:p>
        </w:tc>
        <w:tc>
          <w:tcPr>
            <w:tcW w:w="1386" w:type="dxa"/>
            <w:tcBorders>
              <w:top w:val="nil"/>
              <w:left w:val="nil"/>
              <w:bottom w:val="single" w:color="auto" w:sz="4" w:space="0"/>
              <w:right w:val="single" w:color="auto" w:sz="4" w:space="0"/>
            </w:tcBorders>
            <w:shd w:val="clear" w:color="000000" w:fill="FFFFFF"/>
            <w:vAlign w:val="center"/>
          </w:tcPr>
          <w:p w14:paraId="64A2E3DD">
            <w:pPr>
              <w:widowControl/>
              <w:jc w:val="center"/>
              <w:rPr>
                <w:rFonts w:ascii="仿宋" w:hAnsi="仿宋" w:eastAsia="仿宋"/>
                <w:kern w:val="0"/>
                <w:sz w:val="24"/>
              </w:rPr>
            </w:pPr>
            <w:r>
              <w:rPr>
                <w:rFonts w:ascii="仿宋" w:hAnsi="仿宋" w:eastAsia="仿宋"/>
                <w:kern w:val="0"/>
                <w:sz w:val="24"/>
              </w:rPr>
              <w:t>M00501</w:t>
            </w:r>
          </w:p>
        </w:tc>
        <w:tc>
          <w:tcPr>
            <w:tcW w:w="3598" w:type="dxa"/>
            <w:tcBorders>
              <w:top w:val="nil"/>
              <w:left w:val="nil"/>
              <w:bottom w:val="single" w:color="auto" w:sz="4" w:space="0"/>
              <w:right w:val="single" w:color="auto" w:sz="4" w:space="0"/>
            </w:tcBorders>
            <w:shd w:val="clear" w:color="000000" w:fill="FFFFFF"/>
            <w:vAlign w:val="center"/>
          </w:tcPr>
          <w:p w14:paraId="270DD76F">
            <w:pPr>
              <w:widowControl/>
              <w:jc w:val="center"/>
              <w:rPr>
                <w:rFonts w:ascii="仿宋" w:hAnsi="仿宋" w:eastAsia="仿宋"/>
                <w:kern w:val="0"/>
                <w:sz w:val="24"/>
              </w:rPr>
            </w:pPr>
            <w:r>
              <w:rPr>
                <w:rFonts w:ascii="仿宋" w:hAnsi="仿宋" w:eastAsia="仿宋"/>
                <w:kern w:val="0"/>
                <w:sz w:val="24"/>
              </w:rPr>
              <w:t>恶性肿瘤（放化疗）</w:t>
            </w:r>
          </w:p>
        </w:tc>
        <w:tc>
          <w:tcPr>
            <w:tcW w:w="1180" w:type="dxa"/>
            <w:tcBorders>
              <w:top w:val="nil"/>
              <w:left w:val="nil"/>
              <w:bottom w:val="single" w:color="auto" w:sz="4" w:space="0"/>
              <w:right w:val="single" w:color="auto" w:sz="4" w:space="0"/>
            </w:tcBorders>
            <w:vAlign w:val="center"/>
          </w:tcPr>
          <w:p w14:paraId="7994F09B">
            <w:pPr>
              <w:widowControl/>
              <w:jc w:val="center"/>
              <w:rPr>
                <w:rFonts w:ascii="仿宋" w:hAnsi="仿宋" w:eastAsia="仿宋"/>
                <w:kern w:val="0"/>
                <w:sz w:val="24"/>
              </w:rPr>
            </w:pPr>
            <w:r>
              <w:rPr>
                <w:rFonts w:ascii="仿宋" w:hAnsi="仿宋" w:eastAsia="仿宋"/>
                <w:kern w:val="0"/>
                <w:sz w:val="24"/>
              </w:rPr>
              <w:t>90</w:t>
            </w:r>
          </w:p>
        </w:tc>
        <w:tc>
          <w:tcPr>
            <w:tcW w:w="1394" w:type="dxa"/>
            <w:tcBorders>
              <w:top w:val="nil"/>
              <w:left w:val="nil"/>
              <w:bottom w:val="single" w:color="auto" w:sz="4" w:space="0"/>
              <w:right w:val="single" w:color="auto" w:sz="4" w:space="0"/>
            </w:tcBorders>
            <w:vAlign w:val="center"/>
          </w:tcPr>
          <w:p w14:paraId="535B3F02">
            <w:pPr>
              <w:widowControl/>
              <w:jc w:val="center"/>
              <w:rPr>
                <w:rFonts w:ascii="仿宋" w:hAnsi="仿宋" w:eastAsia="仿宋" w:cs="宋体"/>
                <w:kern w:val="0"/>
                <w:sz w:val="24"/>
              </w:rPr>
            </w:pPr>
            <w:r>
              <w:rPr>
                <w:rFonts w:hint="eastAsia" w:ascii="仿宋" w:hAnsi="仿宋" w:eastAsia="仿宋" w:cs="宋体"/>
                <w:kern w:val="0"/>
                <w:sz w:val="24"/>
              </w:rPr>
              <w:t>10000</w:t>
            </w:r>
          </w:p>
        </w:tc>
        <w:tc>
          <w:tcPr>
            <w:tcW w:w="1174" w:type="dxa"/>
            <w:tcBorders>
              <w:top w:val="nil"/>
              <w:left w:val="nil"/>
              <w:bottom w:val="single" w:color="auto" w:sz="4" w:space="0"/>
              <w:right w:val="single" w:color="auto" w:sz="4" w:space="0"/>
            </w:tcBorders>
            <w:vAlign w:val="center"/>
          </w:tcPr>
          <w:p w14:paraId="2E9EA555">
            <w:pPr>
              <w:widowControl/>
              <w:jc w:val="center"/>
              <w:rPr>
                <w:rFonts w:ascii="仿宋" w:hAnsi="仿宋" w:eastAsia="仿宋" w:cs="宋体"/>
                <w:kern w:val="0"/>
                <w:sz w:val="24"/>
              </w:rPr>
            </w:pPr>
            <w:r>
              <w:rPr>
                <w:rFonts w:hint="eastAsia" w:ascii="仿宋" w:hAnsi="仿宋" w:eastAsia="仿宋" w:cs="宋体"/>
                <w:kern w:val="0"/>
                <w:sz w:val="24"/>
              </w:rPr>
              <w:t>80</w:t>
            </w:r>
          </w:p>
        </w:tc>
        <w:tc>
          <w:tcPr>
            <w:tcW w:w="1560" w:type="dxa"/>
            <w:tcBorders>
              <w:top w:val="nil"/>
              <w:left w:val="nil"/>
              <w:bottom w:val="single" w:color="auto" w:sz="4" w:space="0"/>
              <w:right w:val="single" w:color="auto" w:sz="4" w:space="0"/>
            </w:tcBorders>
            <w:vAlign w:val="center"/>
          </w:tcPr>
          <w:p w14:paraId="7B1B7505">
            <w:pPr>
              <w:widowControl/>
              <w:jc w:val="center"/>
              <w:rPr>
                <w:rFonts w:ascii="仿宋" w:hAnsi="仿宋" w:eastAsia="仿宋" w:cs="宋体"/>
                <w:kern w:val="0"/>
                <w:sz w:val="24"/>
              </w:rPr>
            </w:pPr>
            <w:r>
              <w:rPr>
                <w:rFonts w:hint="eastAsia" w:ascii="仿宋" w:hAnsi="仿宋" w:eastAsia="仿宋" w:cs="宋体"/>
                <w:kern w:val="0"/>
                <w:sz w:val="24"/>
              </w:rPr>
              <w:t>10000</w:t>
            </w:r>
          </w:p>
        </w:tc>
        <w:tc>
          <w:tcPr>
            <w:tcW w:w="1487" w:type="dxa"/>
            <w:tcBorders>
              <w:top w:val="nil"/>
              <w:left w:val="nil"/>
              <w:bottom w:val="single" w:color="auto" w:sz="4" w:space="0"/>
              <w:right w:val="single" w:color="auto" w:sz="4" w:space="0"/>
            </w:tcBorders>
            <w:vAlign w:val="center"/>
          </w:tcPr>
          <w:p w14:paraId="4FFF9D4A">
            <w:pPr>
              <w:widowControl/>
              <w:jc w:val="center"/>
              <w:rPr>
                <w:rFonts w:ascii="仿宋" w:hAnsi="仿宋" w:eastAsia="仿宋" w:cs="宋体"/>
                <w:kern w:val="0"/>
                <w:sz w:val="24"/>
              </w:rPr>
            </w:pPr>
            <w:r>
              <w:rPr>
                <w:rFonts w:hint="eastAsia" w:ascii="仿宋" w:hAnsi="仿宋" w:eastAsia="仿宋" w:cs="宋体"/>
                <w:kern w:val="0"/>
                <w:sz w:val="24"/>
              </w:rPr>
              <w:t>2年</w:t>
            </w:r>
          </w:p>
        </w:tc>
      </w:tr>
      <w:tr w14:paraId="220E5789">
        <w:tblPrEx>
          <w:tblCellMar>
            <w:top w:w="0" w:type="dxa"/>
            <w:left w:w="0" w:type="dxa"/>
            <w:bottom w:w="0" w:type="dxa"/>
            <w:right w:w="0" w:type="dxa"/>
          </w:tblCellMar>
        </w:tblPrEx>
        <w:trPr>
          <w:trHeight w:val="501" w:hRule="atLeast"/>
          <w:jc w:val="right"/>
        </w:trPr>
        <w:tc>
          <w:tcPr>
            <w:tcW w:w="755" w:type="dxa"/>
            <w:tcBorders>
              <w:top w:val="nil"/>
              <w:left w:val="single" w:color="auto" w:sz="4" w:space="0"/>
              <w:bottom w:val="single" w:color="auto" w:sz="4" w:space="0"/>
              <w:right w:val="single" w:color="auto" w:sz="4" w:space="0"/>
            </w:tcBorders>
            <w:shd w:val="clear" w:color="auto" w:fill="auto"/>
            <w:vAlign w:val="center"/>
          </w:tcPr>
          <w:p w14:paraId="7BAEFAB3">
            <w:pPr>
              <w:widowControl/>
              <w:jc w:val="center"/>
              <w:rPr>
                <w:rFonts w:ascii="仿宋" w:hAnsi="仿宋" w:eastAsia="仿宋"/>
                <w:kern w:val="0"/>
                <w:sz w:val="24"/>
              </w:rPr>
            </w:pPr>
            <w:r>
              <w:rPr>
                <w:rFonts w:hint="eastAsia" w:ascii="仿宋" w:hAnsi="仿宋" w:eastAsia="仿宋"/>
                <w:kern w:val="0"/>
                <w:sz w:val="24"/>
              </w:rPr>
              <w:t>64</w:t>
            </w:r>
          </w:p>
        </w:tc>
        <w:tc>
          <w:tcPr>
            <w:tcW w:w="822" w:type="dxa"/>
            <w:vMerge w:val="continue"/>
            <w:tcBorders>
              <w:left w:val="single" w:color="auto" w:sz="4" w:space="0"/>
              <w:bottom w:val="single" w:color="000000" w:sz="4" w:space="0"/>
              <w:right w:val="single" w:color="auto" w:sz="4" w:space="0"/>
            </w:tcBorders>
            <w:shd w:val="clear" w:color="auto" w:fill="auto"/>
            <w:vAlign w:val="center"/>
          </w:tcPr>
          <w:p w14:paraId="7C3E1E71">
            <w:pPr>
              <w:widowControl/>
              <w:jc w:val="left"/>
              <w:rPr>
                <w:rFonts w:ascii="仿宋" w:hAnsi="仿宋" w:eastAsia="仿宋"/>
                <w:kern w:val="0"/>
                <w:sz w:val="24"/>
              </w:rPr>
            </w:pPr>
          </w:p>
        </w:tc>
        <w:tc>
          <w:tcPr>
            <w:tcW w:w="1386" w:type="dxa"/>
            <w:tcBorders>
              <w:top w:val="nil"/>
              <w:left w:val="nil"/>
              <w:bottom w:val="single" w:color="auto" w:sz="4" w:space="0"/>
              <w:right w:val="single" w:color="auto" w:sz="4" w:space="0"/>
            </w:tcBorders>
            <w:shd w:val="clear" w:color="000000" w:fill="FFFFFF"/>
            <w:vAlign w:val="center"/>
          </w:tcPr>
          <w:p w14:paraId="532B0626">
            <w:pPr>
              <w:widowControl/>
              <w:jc w:val="center"/>
              <w:rPr>
                <w:rFonts w:ascii="仿宋" w:hAnsi="仿宋" w:eastAsia="仿宋"/>
                <w:kern w:val="0"/>
                <w:sz w:val="24"/>
              </w:rPr>
            </w:pPr>
            <w:r>
              <w:rPr>
                <w:rFonts w:ascii="仿宋" w:hAnsi="仿宋" w:eastAsia="仿宋"/>
                <w:kern w:val="0"/>
                <w:sz w:val="24"/>
              </w:rPr>
              <w:t>M08300</w:t>
            </w:r>
          </w:p>
        </w:tc>
        <w:tc>
          <w:tcPr>
            <w:tcW w:w="3598" w:type="dxa"/>
            <w:tcBorders>
              <w:top w:val="nil"/>
              <w:left w:val="nil"/>
              <w:bottom w:val="single" w:color="auto" w:sz="4" w:space="0"/>
              <w:right w:val="single" w:color="auto" w:sz="4" w:space="0"/>
            </w:tcBorders>
            <w:shd w:val="clear" w:color="000000" w:fill="FFFFFF"/>
            <w:vAlign w:val="center"/>
          </w:tcPr>
          <w:p w14:paraId="245ACD52">
            <w:pPr>
              <w:widowControl/>
              <w:jc w:val="center"/>
              <w:rPr>
                <w:rFonts w:ascii="仿宋" w:hAnsi="仿宋" w:eastAsia="仿宋"/>
                <w:kern w:val="0"/>
                <w:sz w:val="24"/>
              </w:rPr>
            </w:pPr>
            <w:r>
              <w:rPr>
                <w:rFonts w:ascii="仿宋" w:hAnsi="仿宋" w:eastAsia="仿宋"/>
                <w:kern w:val="0"/>
                <w:sz w:val="24"/>
              </w:rPr>
              <w:t>器官移植抗排异治疗</w:t>
            </w:r>
          </w:p>
        </w:tc>
        <w:tc>
          <w:tcPr>
            <w:tcW w:w="1180" w:type="dxa"/>
            <w:tcBorders>
              <w:top w:val="nil"/>
              <w:left w:val="nil"/>
              <w:bottom w:val="single" w:color="auto" w:sz="4" w:space="0"/>
              <w:right w:val="single" w:color="auto" w:sz="4" w:space="0"/>
            </w:tcBorders>
            <w:vAlign w:val="center"/>
          </w:tcPr>
          <w:p w14:paraId="7B8875DF">
            <w:pPr>
              <w:widowControl/>
              <w:jc w:val="center"/>
              <w:rPr>
                <w:rFonts w:ascii="仿宋" w:hAnsi="仿宋" w:eastAsia="仿宋"/>
                <w:kern w:val="0"/>
                <w:sz w:val="24"/>
              </w:rPr>
            </w:pPr>
            <w:r>
              <w:rPr>
                <w:rFonts w:ascii="仿宋" w:hAnsi="仿宋" w:eastAsia="仿宋"/>
                <w:kern w:val="0"/>
                <w:sz w:val="24"/>
              </w:rPr>
              <w:t>90</w:t>
            </w:r>
          </w:p>
        </w:tc>
        <w:tc>
          <w:tcPr>
            <w:tcW w:w="1394" w:type="dxa"/>
            <w:tcBorders>
              <w:top w:val="nil"/>
              <w:left w:val="nil"/>
              <w:bottom w:val="single" w:color="auto" w:sz="4" w:space="0"/>
              <w:right w:val="single" w:color="auto" w:sz="4" w:space="0"/>
            </w:tcBorders>
            <w:vAlign w:val="center"/>
          </w:tcPr>
          <w:p w14:paraId="106170F9">
            <w:pPr>
              <w:widowControl/>
              <w:jc w:val="center"/>
              <w:rPr>
                <w:rFonts w:ascii="仿宋" w:hAnsi="仿宋" w:eastAsia="仿宋" w:cs="宋体"/>
                <w:kern w:val="0"/>
                <w:sz w:val="24"/>
              </w:rPr>
            </w:pPr>
            <w:r>
              <w:rPr>
                <w:rFonts w:hint="eastAsia" w:ascii="仿宋" w:hAnsi="仿宋" w:eastAsia="仿宋" w:cs="宋体"/>
                <w:kern w:val="0"/>
                <w:sz w:val="24"/>
              </w:rPr>
              <w:t>80000</w:t>
            </w:r>
          </w:p>
        </w:tc>
        <w:tc>
          <w:tcPr>
            <w:tcW w:w="1174" w:type="dxa"/>
            <w:tcBorders>
              <w:top w:val="nil"/>
              <w:left w:val="nil"/>
              <w:bottom w:val="single" w:color="auto" w:sz="4" w:space="0"/>
              <w:right w:val="single" w:color="auto" w:sz="4" w:space="0"/>
            </w:tcBorders>
            <w:vAlign w:val="center"/>
          </w:tcPr>
          <w:p w14:paraId="52C4A329">
            <w:pPr>
              <w:widowControl/>
              <w:jc w:val="center"/>
              <w:rPr>
                <w:rFonts w:ascii="仿宋" w:hAnsi="仿宋" w:eastAsia="仿宋" w:cs="宋体"/>
                <w:kern w:val="0"/>
                <w:sz w:val="24"/>
              </w:rPr>
            </w:pPr>
            <w:r>
              <w:rPr>
                <w:rFonts w:hint="eastAsia" w:ascii="仿宋" w:hAnsi="仿宋" w:eastAsia="仿宋" w:cs="宋体"/>
                <w:kern w:val="0"/>
                <w:sz w:val="24"/>
              </w:rPr>
              <w:t>80</w:t>
            </w:r>
          </w:p>
        </w:tc>
        <w:tc>
          <w:tcPr>
            <w:tcW w:w="1560" w:type="dxa"/>
            <w:tcBorders>
              <w:top w:val="nil"/>
              <w:left w:val="nil"/>
              <w:bottom w:val="single" w:color="auto" w:sz="4" w:space="0"/>
              <w:right w:val="single" w:color="auto" w:sz="4" w:space="0"/>
            </w:tcBorders>
            <w:vAlign w:val="center"/>
          </w:tcPr>
          <w:p w14:paraId="48C7CF9C">
            <w:pPr>
              <w:widowControl/>
              <w:jc w:val="center"/>
              <w:rPr>
                <w:rFonts w:ascii="仿宋" w:hAnsi="仿宋" w:eastAsia="仿宋" w:cs="宋体"/>
                <w:kern w:val="0"/>
                <w:sz w:val="24"/>
              </w:rPr>
            </w:pPr>
            <w:r>
              <w:rPr>
                <w:rFonts w:hint="eastAsia" w:ascii="仿宋" w:hAnsi="仿宋" w:eastAsia="仿宋" w:cs="宋体"/>
                <w:kern w:val="0"/>
                <w:sz w:val="24"/>
              </w:rPr>
              <w:t>80000</w:t>
            </w:r>
          </w:p>
        </w:tc>
        <w:tc>
          <w:tcPr>
            <w:tcW w:w="1487" w:type="dxa"/>
            <w:tcBorders>
              <w:top w:val="nil"/>
              <w:left w:val="nil"/>
              <w:bottom w:val="single" w:color="auto" w:sz="4" w:space="0"/>
              <w:right w:val="single" w:color="auto" w:sz="4" w:space="0"/>
            </w:tcBorders>
            <w:vAlign w:val="center"/>
          </w:tcPr>
          <w:p w14:paraId="0CC46156">
            <w:pPr>
              <w:widowControl/>
              <w:jc w:val="center"/>
              <w:rPr>
                <w:rFonts w:ascii="仿宋" w:hAnsi="仿宋" w:eastAsia="仿宋" w:cs="宋体"/>
                <w:kern w:val="0"/>
                <w:sz w:val="24"/>
              </w:rPr>
            </w:pPr>
            <w:r>
              <w:rPr>
                <w:rFonts w:hint="eastAsia" w:ascii="仿宋" w:hAnsi="仿宋" w:eastAsia="仿宋" w:cs="宋体"/>
                <w:kern w:val="0"/>
                <w:sz w:val="24"/>
              </w:rPr>
              <w:t>长期</w:t>
            </w:r>
          </w:p>
        </w:tc>
      </w:tr>
    </w:tbl>
    <w:p w14:paraId="39EB1F09">
      <w:pPr>
        <w:pStyle w:val="3"/>
        <w:spacing w:line="600" w:lineRule="exact"/>
        <w:ind w:firstLine="960" w:firstLineChars="300"/>
        <w:rPr>
          <w:rFonts w:ascii="仿宋_GB2312" w:hAnsi="仿宋_GB2312" w:eastAsia="仿宋_GB2312"/>
          <w:sz w:val="32"/>
          <w:szCs w:val="32"/>
        </w:rPr>
      </w:pPr>
    </w:p>
    <w:p w14:paraId="605C8BB3">
      <w:pPr>
        <w:pStyle w:val="3"/>
        <w:spacing w:line="600" w:lineRule="exact"/>
        <w:ind w:firstLine="960" w:firstLineChars="300"/>
        <w:rPr>
          <w:rFonts w:ascii="仿宋_GB2312" w:hAnsi="仿宋_GB2312" w:eastAsia="仿宋_GB2312"/>
          <w:sz w:val="32"/>
          <w:szCs w:val="32"/>
        </w:rPr>
      </w:pPr>
    </w:p>
    <w:p w14:paraId="1505C778"/>
    <w:p w14:paraId="1D7C4D92">
      <w:pPr>
        <w:sectPr>
          <w:footerReference r:id="rId3" w:type="default"/>
          <w:pgSz w:w="16838" w:h="11906" w:orient="landscape"/>
          <w:pgMar w:top="1587" w:right="1814" w:bottom="1587" w:left="1587" w:header="851" w:footer="992" w:gutter="0"/>
          <w:pgBorders>
            <w:top w:val="none" w:sz="0" w:space="0"/>
            <w:left w:val="none" w:sz="0" w:space="0"/>
            <w:bottom w:val="none" w:sz="0" w:space="0"/>
            <w:right w:val="none" w:sz="0" w:space="0"/>
          </w:pgBorders>
          <w:pgNumType w:start="13"/>
          <w:cols w:space="0" w:num="1"/>
          <w:docGrid w:type="lines" w:linePitch="323" w:charSpace="0"/>
        </w:sectPr>
      </w:pPr>
    </w:p>
    <w:p w14:paraId="639A5FCA">
      <w:pPr>
        <w:spacing w:line="560" w:lineRule="exact"/>
        <w:rPr>
          <w:rFonts w:ascii="黑体" w:hAnsi="黑体" w:eastAsia="黑体"/>
          <w:sz w:val="32"/>
          <w:szCs w:val="32"/>
        </w:rPr>
      </w:pPr>
      <w:r>
        <w:rPr>
          <w:rFonts w:hint="eastAsia" w:ascii="黑体" w:hAnsi="黑体" w:eastAsia="黑体"/>
          <w:sz w:val="32"/>
          <w:szCs w:val="32"/>
        </w:rPr>
        <w:t>附件2</w:t>
      </w:r>
    </w:p>
    <w:p w14:paraId="541757BF">
      <w:pPr>
        <w:spacing w:line="560" w:lineRule="exact"/>
        <w:jc w:val="center"/>
        <w:rPr>
          <w:rFonts w:ascii="方正小标宋简体" w:hAnsi="华文中宋" w:eastAsia="方正小标宋简体" w:cs="华文中宋"/>
          <w:sz w:val="42"/>
          <w:szCs w:val="42"/>
        </w:rPr>
      </w:pPr>
    </w:p>
    <w:p w14:paraId="68B3DA83">
      <w:pPr>
        <w:spacing w:line="560" w:lineRule="exact"/>
        <w:jc w:val="center"/>
        <w:rPr>
          <w:rFonts w:hint="eastAsia" w:ascii="方正小标宋简体" w:hAnsi="华文中宋" w:eastAsia="方正小标宋简体" w:cs="华文中宋"/>
          <w:sz w:val="42"/>
          <w:szCs w:val="42"/>
        </w:rPr>
      </w:pPr>
      <w:r>
        <w:rPr>
          <w:rFonts w:hint="eastAsia" w:ascii="方正小标宋简体" w:hAnsi="华文中宋" w:eastAsia="方正小标宋简体" w:cs="华文中宋"/>
          <w:sz w:val="42"/>
          <w:szCs w:val="42"/>
        </w:rPr>
        <w:t>甘肃省基本医疗保险门诊</w:t>
      </w:r>
    </w:p>
    <w:p w14:paraId="62AA748F">
      <w:pPr>
        <w:spacing w:line="560" w:lineRule="exact"/>
        <w:jc w:val="center"/>
        <w:rPr>
          <w:rFonts w:ascii="仿宋_GB2312" w:hAnsi="仿宋_GB2312" w:eastAsia="仿宋_GB2312" w:cs="仿宋_GB2312"/>
          <w:sz w:val="42"/>
          <w:szCs w:val="42"/>
        </w:rPr>
      </w:pPr>
      <w:r>
        <w:rPr>
          <w:rFonts w:hint="eastAsia" w:ascii="方正小标宋简体" w:hAnsi="华文中宋" w:eastAsia="方正小标宋简体" w:cs="华文中宋"/>
          <w:sz w:val="42"/>
          <w:szCs w:val="42"/>
        </w:rPr>
        <w:t>慢特病病种认定标准及复审期限</w:t>
      </w:r>
    </w:p>
    <w:p w14:paraId="44A5D387">
      <w:pPr>
        <w:spacing w:line="460" w:lineRule="exact"/>
        <w:ind w:firstLine="640" w:firstLineChars="200"/>
        <w:rPr>
          <w:rFonts w:ascii="黑体" w:hAnsi="宋体" w:eastAsia="黑体"/>
          <w:sz w:val="32"/>
          <w:szCs w:val="32"/>
        </w:rPr>
      </w:pPr>
    </w:p>
    <w:p w14:paraId="55E5A983">
      <w:pPr>
        <w:overflowPunct w:val="0"/>
        <w:autoSpaceDE w:val="0"/>
        <w:autoSpaceDN w:val="0"/>
        <w:adjustRightInd w:val="0"/>
        <w:snapToGrid w:val="0"/>
        <w:spacing w:line="570" w:lineRule="exact"/>
        <w:ind w:firstLine="640" w:firstLineChars="200"/>
        <w:rPr>
          <w:rFonts w:ascii="黑体" w:hAnsi="黑体" w:eastAsia="黑体"/>
          <w:sz w:val="32"/>
          <w:szCs w:val="32"/>
        </w:rPr>
      </w:pPr>
      <w:r>
        <w:rPr>
          <w:rFonts w:hint="eastAsia" w:ascii="黑体" w:hAnsi="黑体" w:eastAsia="黑体"/>
          <w:sz w:val="32"/>
          <w:szCs w:val="32"/>
        </w:rPr>
        <w:t>一、类风湿性关节炎</w:t>
      </w:r>
    </w:p>
    <w:p w14:paraId="3C3CCCAC">
      <w:pPr>
        <w:overflowPunct w:val="0"/>
        <w:autoSpaceDE w:val="0"/>
        <w:autoSpaceDN w:val="0"/>
        <w:adjustRightInd w:val="0"/>
        <w:snapToGrid w:val="0"/>
        <w:spacing w:line="570" w:lineRule="exact"/>
        <w:ind w:firstLine="630" w:firstLineChars="197"/>
        <w:rPr>
          <w:rFonts w:ascii="楷体_GB2312" w:hAnsi="Times New Roman" w:eastAsia="楷体_GB2312"/>
          <w:bCs/>
          <w:sz w:val="32"/>
          <w:szCs w:val="32"/>
        </w:rPr>
      </w:pPr>
      <w:r>
        <w:rPr>
          <w:rFonts w:hint="eastAsia" w:ascii="楷体_GB2312" w:hAnsi="Times New Roman" w:eastAsia="楷体_GB2312"/>
          <w:bCs/>
          <w:sz w:val="32"/>
          <w:szCs w:val="32"/>
        </w:rPr>
        <w:t>（一）申报资料</w:t>
      </w:r>
    </w:p>
    <w:p w14:paraId="1BF812FB">
      <w:pPr>
        <w:overflowPunct w:val="0"/>
        <w:autoSpaceDE w:val="0"/>
        <w:autoSpaceDN w:val="0"/>
        <w:adjustRightInd w:val="0"/>
        <w:snapToGrid w:val="0"/>
        <w:spacing w:line="570" w:lineRule="exact"/>
        <w:ind w:firstLine="630" w:firstLineChars="197"/>
        <w:rPr>
          <w:rFonts w:ascii="仿宋_GB2312" w:hAnsi="Times New Roman" w:eastAsia="仿宋_GB2312"/>
          <w:sz w:val="32"/>
          <w:szCs w:val="32"/>
        </w:rPr>
      </w:pPr>
      <w:r>
        <w:rPr>
          <w:rFonts w:hint="eastAsia" w:ascii="仿宋_GB2312" w:hAnsi="Times New Roman" w:eastAsia="仿宋_GB2312"/>
          <w:sz w:val="32"/>
          <w:szCs w:val="32"/>
        </w:rPr>
        <w:t>1.</w:t>
      </w:r>
      <w:r>
        <w:rPr>
          <w:rFonts w:hint="eastAsia" w:ascii="仿宋_GB2312" w:hAnsi="仿宋_GB2312" w:eastAsia="仿宋_GB2312"/>
          <w:sz w:val="32"/>
          <w:szCs w:val="32"/>
        </w:rPr>
        <w:t>初次申办或待遇期满续办者须提供患者本人近半年内与所申请病种相符合的住院病历或医保定点医疗机构的体检资料，资料需满足以下第</w:t>
      </w:r>
      <w:r>
        <w:rPr>
          <w:rFonts w:hint="eastAsia" w:ascii="仿宋_GB2312" w:hAnsi="Times New Roman" w:eastAsia="仿宋_GB2312"/>
          <w:sz w:val="32"/>
          <w:szCs w:val="32"/>
        </w:rPr>
        <w:t>2</w:t>
      </w:r>
      <w:r>
        <w:rPr>
          <w:rFonts w:hint="eastAsia" w:ascii="仿宋_GB2312" w:hAnsi="仿宋_GB2312" w:eastAsia="仿宋_GB2312"/>
          <w:sz w:val="32"/>
          <w:szCs w:val="32"/>
        </w:rPr>
        <w:t>或第</w:t>
      </w:r>
      <w:r>
        <w:rPr>
          <w:rFonts w:hint="eastAsia" w:ascii="仿宋_GB2312" w:hAnsi="Times New Roman" w:eastAsia="仿宋_GB2312"/>
          <w:sz w:val="32"/>
          <w:szCs w:val="32"/>
        </w:rPr>
        <w:t>3</w:t>
      </w:r>
      <w:r>
        <w:rPr>
          <w:rFonts w:hint="eastAsia" w:ascii="仿宋_GB2312" w:hAnsi="仿宋_GB2312" w:eastAsia="仿宋_GB2312"/>
          <w:sz w:val="32"/>
          <w:szCs w:val="32"/>
        </w:rPr>
        <w:t>条。且有风湿专科副主任医师以上的诊断证明、专科诊疗计划；</w:t>
      </w:r>
    </w:p>
    <w:p w14:paraId="7A1DA347">
      <w:pPr>
        <w:overflowPunct w:val="0"/>
        <w:autoSpaceDE w:val="0"/>
        <w:autoSpaceDN w:val="0"/>
        <w:adjustRightInd w:val="0"/>
        <w:snapToGrid w:val="0"/>
        <w:spacing w:line="570" w:lineRule="exact"/>
        <w:rPr>
          <w:rFonts w:ascii="仿宋_GB2312" w:hAnsi="Times New Roman" w:eastAsia="仿宋_GB2312"/>
          <w:sz w:val="32"/>
          <w:szCs w:val="32"/>
        </w:rPr>
      </w:pPr>
      <w:r>
        <w:rPr>
          <w:rFonts w:hint="eastAsia" w:ascii="仿宋_GB2312" w:hAnsi="Times New Roman" w:eastAsia="仿宋_GB2312"/>
          <w:sz w:val="32"/>
          <w:szCs w:val="32"/>
        </w:rPr>
        <w:t xml:space="preserve">    2.RF</w:t>
      </w:r>
      <w:r>
        <w:rPr>
          <w:rFonts w:hint="eastAsia" w:ascii="仿宋_GB2312" w:hAnsi="仿宋_GB2312" w:eastAsia="仿宋_GB2312"/>
          <w:sz w:val="32"/>
          <w:szCs w:val="32"/>
        </w:rPr>
        <w:t>阳性或抗</w:t>
      </w:r>
      <w:r>
        <w:rPr>
          <w:rFonts w:hint="eastAsia" w:ascii="仿宋_GB2312" w:hAnsi="Times New Roman" w:eastAsia="仿宋_GB2312"/>
          <w:sz w:val="32"/>
          <w:szCs w:val="32"/>
        </w:rPr>
        <w:t>ccp</w:t>
      </w:r>
      <w:r>
        <w:rPr>
          <w:rFonts w:hint="eastAsia" w:ascii="仿宋_GB2312" w:hAnsi="仿宋_GB2312" w:eastAsia="仿宋_GB2312"/>
          <w:sz w:val="32"/>
          <w:szCs w:val="32"/>
        </w:rPr>
        <w:t>抗体阳性，需同时满足：（</w:t>
      </w:r>
      <w:r>
        <w:rPr>
          <w:rFonts w:hint="eastAsia" w:ascii="仿宋_GB2312" w:hAnsi="Times New Roman" w:eastAsia="仿宋_GB2312"/>
          <w:sz w:val="32"/>
          <w:szCs w:val="32"/>
        </w:rPr>
        <w:t>1</w:t>
      </w:r>
      <w:r>
        <w:rPr>
          <w:rFonts w:hint="eastAsia" w:ascii="仿宋_GB2312" w:hAnsi="仿宋_GB2312" w:eastAsia="仿宋_GB2312"/>
          <w:sz w:val="32"/>
          <w:szCs w:val="32"/>
        </w:rPr>
        <w:t>）手关节</w:t>
      </w:r>
      <w:r>
        <w:rPr>
          <w:rFonts w:hint="eastAsia" w:ascii="仿宋_GB2312" w:hAnsi="Times New Roman" w:eastAsia="仿宋_GB2312"/>
          <w:sz w:val="32"/>
          <w:szCs w:val="32"/>
        </w:rPr>
        <w:t>X</w:t>
      </w:r>
      <w:r>
        <w:rPr>
          <w:rFonts w:hint="eastAsia" w:ascii="仿宋_GB2312" w:hAnsi="仿宋_GB2312" w:eastAsia="仿宋_GB2312"/>
          <w:sz w:val="32"/>
          <w:szCs w:val="32"/>
        </w:rPr>
        <w:t>线显示有类风湿关节炎表现（骨侵蚀破坏等），或</w:t>
      </w:r>
      <w:r>
        <w:rPr>
          <w:rFonts w:hint="eastAsia" w:ascii="仿宋_GB2312" w:hAnsi="Times New Roman" w:eastAsia="仿宋_GB2312"/>
          <w:sz w:val="32"/>
          <w:szCs w:val="32"/>
        </w:rPr>
        <w:t>B</w:t>
      </w:r>
      <w:r>
        <w:rPr>
          <w:rFonts w:hint="eastAsia" w:ascii="仿宋_GB2312" w:hAnsi="仿宋_GB2312" w:eastAsia="仿宋_GB2312"/>
          <w:sz w:val="32"/>
          <w:szCs w:val="32"/>
        </w:rPr>
        <w:t>超或核磁显示</w:t>
      </w:r>
      <w:r>
        <w:rPr>
          <w:rFonts w:hint="eastAsia" w:ascii="仿宋_GB2312" w:hAnsi="Times New Roman" w:eastAsia="仿宋_GB2312"/>
          <w:sz w:val="32"/>
          <w:szCs w:val="32"/>
        </w:rPr>
        <w:t>3</w:t>
      </w:r>
      <w:r>
        <w:rPr>
          <w:rFonts w:hint="eastAsia" w:ascii="仿宋_GB2312" w:hAnsi="仿宋_GB2312" w:eastAsia="仿宋_GB2312"/>
          <w:sz w:val="32"/>
          <w:szCs w:val="32"/>
        </w:rPr>
        <w:t>个及</w:t>
      </w:r>
      <w:r>
        <w:rPr>
          <w:rFonts w:hint="eastAsia" w:ascii="仿宋_GB2312" w:hAnsi="Times New Roman" w:eastAsia="仿宋_GB2312"/>
          <w:sz w:val="32"/>
          <w:szCs w:val="32"/>
        </w:rPr>
        <w:t>3</w:t>
      </w:r>
      <w:r>
        <w:rPr>
          <w:rFonts w:hint="eastAsia" w:ascii="仿宋_GB2312" w:hAnsi="仿宋_GB2312" w:eastAsia="仿宋_GB2312"/>
          <w:sz w:val="32"/>
          <w:szCs w:val="32"/>
        </w:rPr>
        <w:t>个以上关节有滑膜炎或骨侵蚀破坏（</w:t>
      </w:r>
      <w:r>
        <w:rPr>
          <w:rFonts w:hint="eastAsia" w:ascii="仿宋_GB2312" w:hAnsi="Times New Roman" w:eastAsia="仿宋_GB2312"/>
          <w:sz w:val="32"/>
          <w:szCs w:val="32"/>
        </w:rPr>
        <w:t>2</w:t>
      </w:r>
      <w:r>
        <w:rPr>
          <w:rFonts w:hint="eastAsia" w:ascii="仿宋_GB2312" w:hAnsi="仿宋_GB2312" w:eastAsia="仿宋_GB2312"/>
          <w:sz w:val="32"/>
          <w:szCs w:val="32"/>
        </w:rPr>
        <w:t>）需满足血沉、</w:t>
      </w:r>
      <w:r>
        <w:rPr>
          <w:rFonts w:hint="eastAsia" w:ascii="仿宋_GB2312" w:hAnsi="Times New Roman" w:eastAsia="仿宋_GB2312"/>
          <w:sz w:val="32"/>
          <w:szCs w:val="32"/>
        </w:rPr>
        <w:t>C</w:t>
      </w:r>
      <w:r>
        <w:rPr>
          <w:rFonts w:hint="eastAsia" w:ascii="仿宋_GB2312" w:hAnsi="仿宋_GB2312" w:eastAsia="仿宋_GB2312"/>
          <w:sz w:val="32"/>
          <w:szCs w:val="32"/>
        </w:rPr>
        <w:t>反应蛋白、</w:t>
      </w:r>
      <w:r>
        <w:rPr>
          <w:rFonts w:hint="eastAsia" w:ascii="仿宋_GB2312" w:hAnsi="Times New Roman" w:eastAsia="仿宋_GB2312"/>
          <w:sz w:val="32"/>
          <w:szCs w:val="32"/>
        </w:rPr>
        <w:t>B</w:t>
      </w:r>
      <w:r>
        <w:rPr>
          <w:rFonts w:hint="eastAsia" w:ascii="仿宋_GB2312" w:hAnsi="仿宋_GB2312" w:eastAsia="仿宋_GB2312"/>
          <w:sz w:val="32"/>
          <w:szCs w:val="32"/>
        </w:rPr>
        <w:t>超或核磁有滑膜炎三者中至少</w:t>
      </w:r>
      <w:r>
        <w:rPr>
          <w:rFonts w:hint="eastAsia" w:ascii="仿宋_GB2312" w:hAnsi="Times New Roman" w:eastAsia="仿宋_GB2312"/>
          <w:sz w:val="32"/>
          <w:szCs w:val="32"/>
        </w:rPr>
        <w:t>1</w:t>
      </w:r>
      <w:r>
        <w:rPr>
          <w:rFonts w:hint="eastAsia" w:ascii="仿宋_GB2312" w:hAnsi="仿宋_GB2312" w:eastAsia="仿宋_GB2312"/>
          <w:sz w:val="32"/>
          <w:szCs w:val="32"/>
        </w:rPr>
        <w:t>项异常；</w:t>
      </w:r>
    </w:p>
    <w:p w14:paraId="76DD234C">
      <w:pPr>
        <w:overflowPunct w:val="0"/>
        <w:autoSpaceDE w:val="0"/>
        <w:autoSpaceDN w:val="0"/>
        <w:adjustRightInd w:val="0"/>
        <w:snapToGrid w:val="0"/>
        <w:spacing w:line="570" w:lineRule="exact"/>
        <w:rPr>
          <w:rFonts w:ascii="仿宋_GB2312" w:hAnsi="Times New Roman" w:eastAsia="仿宋_GB2312"/>
          <w:sz w:val="32"/>
          <w:szCs w:val="32"/>
        </w:rPr>
      </w:pPr>
      <w:r>
        <w:rPr>
          <w:rFonts w:hint="eastAsia" w:ascii="仿宋_GB2312" w:hAnsi="Times New Roman" w:eastAsia="仿宋_GB2312"/>
          <w:sz w:val="32"/>
          <w:szCs w:val="32"/>
        </w:rPr>
        <w:t xml:space="preserve">    3.RF</w:t>
      </w:r>
      <w:r>
        <w:rPr>
          <w:rFonts w:hint="eastAsia" w:ascii="仿宋_GB2312" w:hAnsi="仿宋_GB2312" w:eastAsia="仿宋_GB2312"/>
          <w:sz w:val="32"/>
          <w:szCs w:val="32"/>
        </w:rPr>
        <w:t>阴性和</w:t>
      </w:r>
      <w:r>
        <w:rPr>
          <w:rFonts w:hint="eastAsia" w:ascii="仿宋_GB2312" w:hAnsi="Times New Roman" w:eastAsia="仿宋_GB2312"/>
          <w:sz w:val="32"/>
          <w:szCs w:val="32"/>
        </w:rPr>
        <w:t>ccp</w:t>
      </w:r>
      <w:r>
        <w:rPr>
          <w:rFonts w:hint="eastAsia" w:ascii="仿宋_GB2312" w:hAnsi="仿宋_GB2312" w:eastAsia="仿宋_GB2312"/>
          <w:sz w:val="32"/>
          <w:szCs w:val="32"/>
        </w:rPr>
        <w:t>抗体均阴性，需同时满足：（</w:t>
      </w:r>
      <w:r>
        <w:rPr>
          <w:rFonts w:hint="eastAsia" w:ascii="仿宋_GB2312" w:hAnsi="Times New Roman" w:eastAsia="仿宋_GB2312"/>
          <w:sz w:val="32"/>
          <w:szCs w:val="32"/>
        </w:rPr>
        <w:t>1</w:t>
      </w:r>
      <w:r>
        <w:rPr>
          <w:rFonts w:hint="eastAsia" w:ascii="仿宋_GB2312" w:hAnsi="仿宋_GB2312" w:eastAsia="仿宋_GB2312"/>
          <w:sz w:val="32"/>
          <w:szCs w:val="32"/>
        </w:rPr>
        <w:t>）手关节</w:t>
      </w:r>
      <w:r>
        <w:rPr>
          <w:rFonts w:hint="eastAsia" w:ascii="仿宋_GB2312" w:hAnsi="Times New Roman" w:eastAsia="仿宋_GB2312"/>
          <w:sz w:val="32"/>
          <w:szCs w:val="32"/>
        </w:rPr>
        <w:t>X</w:t>
      </w:r>
      <w:r>
        <w:rPr>
          <w:rFonts w:hint="eastAsia" w:ascii="仿宋_GB2312" w:hAnsi="仿宋_GB2312" w:eastAsia="仿宋_GB2312"/>
          <w:sz w:val="32"/>
          <w:szCs w:val="32"/>
        </w:rPr>
        <w:t>线显示有类风湿关节炎表现（骨侵蚀破坏等），或</w:t>
      </w:r>
      <w:r>
        <w:rPr>
          <w:rFonts w:hint="eastAsia" w:ascii="仿宋_GB2312" w:hAnsi="Times New Roman" w:eastAsia="仿宋_GB2312"/>
          <w:sz w:val="32"/>
          <w:szCs w:val="32"/>
        </w:rPr>
        <w:t>B</w:t>
      </w:r>
      <w:r>
        <w:rPr>
          <w:rFonts w:hint="eastAsia" w:ascii="仿宋_GB2312" w:hAnsi="仿宋_GB2312" w:eastAsia="仿宋_GB2312"/>
          <w:sz w:val="32"/>
          <w:szCs w:val="32"/>
        </w:rPr>
        <w:t>超或核磁显示</w:t>
      </w:r>
      <w:r>
        <w:rPr>
          <w:rFonts w:hint="eastAsia" w:ascii="仿宋_GB2312" w:hAnsi="Times New Roman" w:eastAsia="仿宋_GB2312"/>
          <w:sz w:val="32"/>
          <w:szCs w:val="32"/>
        </w:rPr>
        <w:t>5</w:t>
      </w:r>
      <w:r>
        <w:rPr>
          <w:rFonts w:hint="eastAsia" w:ascii="仿宋_GB2312" w:hAnsi="仿宋_GB2312" w:eastAsia="仿宋_GB2312"/>
          <w:sz w:val="32"/>
          <w:szCs w:val="32"/>
        </w:rPr>
        <w:t>个及</w:t>
      </w:r>
      <w:r>
        <w:rPr>
          <w:rFonts w:hint="eastAsia" w:ascii="仿宋_GB2312" w:hAnsi="Times New Roman" w:eastAsia="仿宋_GB2312"/>
          <w:sz w:val="32"/>
          <w:szCs w:val="32"/>
        </w:rPr>
        <w:t>5</w:t>
      </w:r>
      <w:r>
        <w:rPr>
          <w:rFonts w:hint="eastAsia" w:ascii="仿宋_GB2312" w:hAnsi="仿宋_GB2312" w:eastAsia="仿宋_GB2312"/>
          <w:sz w:val="32"/>
          <w:szCs w:val="32"/>
        </w:rPr>
        <w:t>个以上关节有滑膜炎或骨侵蚀破坏（</w:t>
      </w:r>
      <w:r>
        <w:rPr>
          <w:rFonts w:hint="eastAsia" w:ascii="仿宋_GB2312" w:hAnsi="Times New Roman" w:eastAsia="仿宋_GB2312"/>
          <w:sz w:val="32"/>
          <w:szCs w:val="32"/>
        </w:rPr>
        <w:t>2</w:t>
      </w:r>
      <w:r>
        <w:rPr>
          <w:rFonts w:hint="eastAsia" w:ascii="仿宋_GB2312" w:hAnsi="仿宋_GB2312" w:eastAsia="仿宋_GB2312"/>
          <w:sz w:val="32"/>
          <w:szCs w:val="32"/>
        </w:rPr>
        <w:t>）需满足血沉、</w:t>
      </w:r>
      <w:r>
        <w:rPr>
          <w:rFonts w:hint="eastAsia" w:ascii="仿宋_GB2312" w:hAnsi="Times New Roman" w:eastAsia="仿宋_GB2312"/>
          <w:sz w:val="32"/>
          <w:szCs w:val="32"/>
        </w:rPr>
        <w:t>C</w:t>
      </w:r>
      <w:r>
        <w:rPr>
          <w:rFonts w:hint="eastAsia" w:ascii="仿宋_GB2312" w:hAnsi="仿宋_GB2312" w:eastAsia="仿宋_GB2312"/>
          <w:sz w:val="32"/>
          <w:szCs w:val="32"/>
        </w:rPr>
        <w:t>反应蛋白均升高。</w:t>
      </w:r>
    </w:p>
    <w:p w14:paraId="3090F3DA">
      <w:pPr>
        <w:overflowPunct w:val="0"/>
        <w:autoSpaceDE w:val="0"/>
        <w:autoSpaceDN w:val="0"/>
        <w:adjustRightInd w:val="0"/>
        <w:snapToGrid w:val="0"/>
        <w:spacing w:line="570" w:lineRule="exact"/>
        <w:ind w:firstLine="640" w:firstLineChars="200"/>
        <w:rPr>
          <w:rFonts w:ascii="仿宋_GB2312" w:hAnsi="Times New Roman" w:eastAsia="仿宋_GB2312"/>
          <w:sz w:val="32"/>
          <w:szCs w:val="32"/>
        </w:rPr>
      </w:pPr>
      <w:r>
        <w:rPr>
          <w:rFonts w:hint="eastAsia" w:ascii="楷体_GB2312" w:hAnsi="Times New Roman" w:eastAsia="楷体_GB2312"/>
          <w:bCs/>
          <w:sz w:val="32"/>
          <w:szCs w:val="32"/>
        </w:rPr>
        <w:t>（二）治疗指征（认定标准）</w:t>
      </w:r>
      <w:r>
        <w:rPr>
          <w:rFonts w:hint="eastAsia" w:ascii="仿宋_GB2312" w:hAnsi="Times New Roman" w:eastAsia="仿宋_GB2312"/>
          <w:sz w:val="32"/>
          <w:szCs w:val="32"/>
        </w:rPr>
        <w:t xml:space="preserve">    </w:t>
      </w:r>
    </w:p>
    <w:p w14:paraId="4750377E">
      <w:pPr>
        <w:overflowPunct w:val="0"/>
        <w:autoSpaceDE w:val="0"/>
        <w:autoSpaceDN w:val="0"/>
        <w:adjustRightInd w:val="0"/>
        <w:snapToGrid w:val="0"/>
        <w:spacing w:line="570" w:lineRule="exact"/>
        <w:ind w:firstLine="640" w:firstLineChars="200"/>
        <w:rPr>
          <w:rFonts w:ascii="仿宋_GB2312" w:hAnsi="Times New Roman" w:eastAsia="仿宋_GB2312"/>
          <w:sz w:val="32"/>
          <w:szCs w:val="32"/>
        </w:rPr>
      </w:pPr>
      <w:r>
        <w:rPr>
          <w:rFonts w:hint="eastAsia" w:ascii="仿宋_GB2312" w:hAnsi="Times New Roman" w:eastAsia="仿宋_GB2312"/>
          <w:sz w:val="32"/>
          <w:szCs w:val="32"/>
        </w:rPr>
        <w:t>1.</w:t>
      </w:r>
      <w:r>
        <w:rPr>
          <w:rFonts w:hint="eastAsia" w:ascii="仿宋_GB2312" w:hAnsi="仿宋_GB2312" w:eastAsia="仿宋_GB2312"/>
          <w:sz w:val="32"/>
          <w:szCs w:val="32"/>
        </w:rPr>
        <w:t>关节肿胀疼痛、晨僵时间大于</w:t>
      </w:r>
      <w:r>
        <w:rPr>
          <w:rFonts w:hint="eastAsia" w:ascii="仿宋_GB2312" w:hAnsi="Times New Roman" w:eastAsia="仿宋_GB2312"/>
          <w:sz w:val="32"/>
          <w:szCs w:val="32"/>
        </w:rPr>
        <w:t>30</w:t>
      </w:r>
      <w:r>
        <w:rPr>
          <w:rFonts w:hint="eastAsia" w:ascii="仿宋_GB2312" w:hAnsi="仿宋_GB2312" w:eastAsia="仿宋_GB2312"/>
          <w:sz w:val="32"/>
          <w:szCs w:val="32"/>
        </w:rPr>
        <w:t>分钟；</w:t>
      </w:r>
    </w:p>
    <w:p w14:paraId="6F22B82A">
      <w:pPr>
        <w:overflowPunct w:val="0"/>
        <w:autoSpaceDE w:val="0"/>
        <w:autoSpaceDN w:val="0"/>
        <w:adjustRightInd w:val="0"/>
        <w:snapToGrid w:val="0"/>
        <w:spacing w:line="570" w:lineRule="exact"/>
        <w:rPr>
          <w:rFonts w:ascii="仿宋_GB2312" w:hAnsi="Times New Roman" w:eastAsia="仿宋_GB2312"/>
          <w:sz w:val="32"/>
          <w:szCs w:val="32"/>
        </w:rPr>
      </w:pPr>
      <w:r>
        <w:rPr>
          <w:rFonts w:hint="eastAsia" w:ascii="仿宋_GB2312" w:hAnsi="Times New Roman" w:eastAsia="仿宋_GB2312"/>
          <w:sz w:val="32"/>
          <w:szCs w:val="32"/>
        </w:rPr>
        <w:t xml:space="preserve">    2.</w:t>
      </w:r>
      <w:r>
        <w:rPr>
          <w:rFonts w:hint="eastAsia" w:ascii="仿宋_GB2312" w:hAnsi="仿宋_GB2312" w:eastAsia="仿宋_GB2312"/>
          <w:sz w:val="32"/>
          <w:szCs w:val="32"/>
        </w:rPr>
        <w:t>关节肿胀或积液、有关节滑膜炎表现；</w:t>
      </w:r>
    </w:p>
    <w:p w14:paraId="52E60584">
      <w:pPr>
        <w:overflowPunct w:val="0"/>
        <w:autoSpaceDE w:val="0"/>
        <w:autoSpaceDN w:val="0"/>
        <w:adjustRightInd w:val="0"/>
        <w:snapToGrid w:val="0"/>
        <w:spacing w:line="570" w:lineRule="exact"/>
        <w:rPr>
          <w:rFonts w:ascii="仿宋_GB2312" w:hAnsi="Times New Roman" w:eastAsia="仿宋_GB2312"/>
          <w:sz w:val="32"/>
          <w:szCs w:val="32"/>
        </w:rPr>
      </w:pPr>
      <w:r>
        <w:rPr>
          <w:rFonts w:hint="eastAsia" w:ascii="仿宋_GB2312" w:hAnsi="Times New Roman" w:eastAsia="仿宋_GB2312"/>
          <w:sz w:val="32"/>
          <w:szCs w:val="32"/>
        </w:rPr>
        <w:t xml:space="preserve">    3.</w:t>
      </w:r>
      <w:r>
        <w:rPr>
          <w:rFonts w:hint="eastAsia" w:ascii="仿宋_GB2312" w:hAnsi="仿宋_GB2312" w:eastAsia="仿宋_GB2312"/>
          <w:sz w:val="32"/>
          <w:szCs w:val="32"/>
        </w:rPr>
        <w:t>血沉、</w:t>
      </w:r>
      <w:r>
        <w:rPr>
          <w:rFonts w:hint="eastAsia" w:ascii="仿宋_GB2312" w:hAnsi="Times New Roman" w:eastAsia="仿宋_GB2312"/>
          <w:sz w:val="32"/>
          <w:szCs w:val="32"/>
        </w:rPr>
        <w:t>C</w:t>
      </w:r>
      <w:r>
        <w:rPr>
          <w:rFonts w:hint="eastAsia" w:ascii="仿宋_GB2312" w:hAnsi="仿宋_GB2312" w:eastAsia="仿宋_GB2312"/>
          <w:sz w:val="32"/>
          <w:szCs w:val="32"/>
        </w:rPr>
        <w:t>反应蛋白增高。</w:t>
      </w:r>
    </w:p>
    <w:p w14:paraId="732D1D96">
      <w:pPr>
        <w:overflowPunct w:val="0"/>
        <w:autoSpaceDE w:val="0"/>
        <w:autoSpaceDN w:val="0"/>
        <w:adjustRightInd w:val="0"/>
        <w:snapToGrid w:val="0"/>
        <w:spacing w:line="570" w:lineRule="exact"/>
        <w:ind w:firstLine="630" w:firstLineChars="197"/>
        <w:rPr>
          <w:rFonts w:ascii="楷体_GB2312" w:hAnsi="Times New Roman" w:eastAsia="楷体_GB2312"/>
          <w:bCs/>
          <w:sz w:val="32"/>
          <w:szCs w:val="32"/>
        </w:rPr>
      </w:pPr>
      <w:r>
        <w:rPr>
          <w:rFonts w:hint="eastAsia" w:ascii="楷体_GB2312" w:hAnsi="Times New Roman" w:eastAsia="楷体_GB2312"/>
          <w:bCs/>
          <w:sz w:val="32"/>
          <w:szCs w:val="32"/>
        </w:rPr>
        <w:t>（三）门诊诊疗范围</w:t>
      </w:r>
    </w:p>
    <w:p w14:paraId="38808629">
      <w:pPr>
        <w:overflowPunct w:val="0"/>
        <w:autoSpaceDE w:val="0"/>
        <w:autoSpaceDN w:val="0"/>
        <w:adjustRightInd w:val="0"/>
        <w:snapToGrid w:val="0"/>
        <w:spacing w:line="570" w:lineRule="exact"/>
        <w:rPr>
          <w:rFonts w:ascii="仿宋_GB2312" w:hAnsi="Times New Roman" w:eastAsia="仿宋_GB2312"/>
          <w:sz w:val="32"/>
          <w:szCs w:val="32"/>
        </w:rPr>
      </w:pPr>
      <w:r>
        <w:rPr>
          <w:rFonts w:hint="eastAsia" w:ascii="仿宋_GB2312" w:hAnsi="Times New Roman" w:eastAsia="仿宋_GB2312"/>
          <w:sz w:val="32"/>
          <w:szCs w:val="32"/>
        </w:rPr>
        <w:t xml:space="preserve">    1.</w:t>
      </w:r>
      <w:r>
        <w:rPr>
          <w:rFonts w:hint="eastAsia" w:ascii="仿宋_GB2312" w:hAnsi="仿宋_GB2312" w:eastAsia="仿宋_GB2312"/>
          <w:sz w:val="32"/>
          <w:szCs w:val="32"/>
        </w:rPr>
        <w:t>糖皮质激素、非甾体抗炎药、抗风湿慢作用药物、生物制剂、</w:t>
      </w:r>
      <w:r>
        <w:rPr>
          <w:rFonts w:hint="eastAsia" w:ascii="仿宋_GB2312" w:hAnsi="Times New Roman" w:eastAsia="仿宋_GB2312"/>
          <w:sz w:val="32"/>
          <w:szCs w:val="32"/>
        </w:rPr>
        <w:t>JAK</w:t>
      </w:r>
      <w:r>
        <w:rPr>
          <w:rFonts w:hint="eastAsia" w:ascii="仿宋_GB2312" w:hAnsi="仿宋_GB2312" w:eastAsia="仿宋_GB2312"/>
          <w:sz w:val="32"/>
          <w:szCs w:val="32"/>
        </w:rPr>
        <w:t>抑制剂、抗风湿中成药；</w:t>
      </w:r>
    </w:p>
    <w:p w14:paraId="478B14BE">
      <w:pPr>
        <w:overflowPunct w:val="0"/>
        <w:autoSpaceDE w:val="0"/>
        <w:autoSpaceDN w:val="0"/>
        <w:adjustRightInd w:val="0"/>
        <w:snapToGrid w:val="0"/>
        <w:spacing w:line="570" w:lineRule="exact"/>
        <w:rPr>
          <w:rFonts w:ascii="仿宋_GB2312" w:hAnsi="Times New Roman" w:eastAsia="仿宋_GB2312"/>
          <w:sz w:val="32"/>
          <w:szCs w:val="32"/>
        </w:rPr>
      </w:pPr>
      <w:r>
        <w:rPr>
          <w:rFonts w:hint="eastAsia" w:ascii="仿宋_GB2312" w:hAnsi="Times New Roman" w:eastAsia="仿宋_GB2312"/>
          <w:sz w:val="32"/>
          <w:szCs w:val="32"/>
        </w:rPr>
        <w:t xml:space="preserve">    2.</w:t>
      </w:r>
      <w:r>
        <w:rPr>
          <w:rFonts w:hint="eastAsia" w:ascii="仿宋_GB2312" w:hAnsi="仿宋_GB2312" w:eastAsia="仿宋_GB2312"/>
          <w:sz w:val="32"/>
          <w:szCs w:val="32"/>
        </w:rPr>
        <w:t>对症治疗的药物；</w:t>
      </w:r>
    </w:p>
    <w:p w14:paraId="27A211E4">
      <w:pPr>
        <w:overflowPunct w:val="0"/>
        <w:autoSpaceDE w:val="0"/>
        <w:autoSpaceDN w:val="0"/>
        <w:adjustRightInd w:val="0"/>
        <w:snapToGrid w:val="0"/>
        <w:spacing w:line="570" w:lineRule="exact"/>
        <w:rPr>
          <w:rFonts w:ascii="仿宋_GB2312" w:hAnsi="Times New Roman" w:eastAsia="仿宋_GB2312"/>
          <w:sz w:val="32"/>
          <w:szCs w:val="32"/>
        </w:rPr>
      </w:pPr>
      <w:r>
        <w:rPr>
          <w:rFonts w:hint="eastAsia" w:ascii="仿宋_GB2312" w:hAnsi="Times New Roman" w:eastAsia="仿宋_GB2312"/>
          <w:sz w:val="32"/>
          <w:szCs w:val="32"/>
        </w:rPr>
        <w:t xml:space="preserve">    3.</w:t>
      </w:r>
      <w:r>
        <w:rPr>
          <w:rFonts w:hint="eastAsia" w:ascii="仿宋_GB2312" w:hAnsi="仿宋_GB2312" w:eastAsia="仿宋_GB2312"/>
          <w:sz w:val="32"/>
          <w:szCs w:val="32"/>
        </w:rPr>
        <w:t>治疗期间毒、副反应的治疗；</w:t>
      </w:r>
    </w:p>
    <w:p w14:paraId="0852B0EC">
      <w:pPr>
        <w:overflowPunct w:val="0"/>
        <w:autoSpaceDE w:val="0"/>
        <w:autoSpaceDN w:val="0"/>
        <w:adjustRightInd w:val="0"/>
        <w:snapToGrid w:val="0"/>
        <w:spacing w:line="570" w:lineRule="exact"/>
        <w:ind w:firstLine="640"/>
        <w:rPr>
          <w:rFonts w:ascii="仿宋_GB2312" w:hAnsi="Times New Roman" w:eastAsia="仿宋_GB2312"/>
          <w:sz w:val="32"/>
          <w:szCs w:val="32"/>
        </w:rPr>
      </w:pPr>
      <w:r>
        <w:rPr>
          <w:rFonts w:hint="eastAsia" w:ascii="仿宋_GB2312" w:hAnsi="Times New Roman" w:eastAsia="仿宋_GB2312"/>
          <w:sz w:val="32"/>
          <w:szCs w:val="32"/>
        </w:rPr>
        <w:t>4.</w:t>
      </w:r>
      <w:r>
        <w:rPr>
          <w:rFonts w:hint="eastAsia" w:ascii="仿宋_GB2312" w:hAnsi="仿宋_GB2312" w:eastAsia="仿宋_GB2312"/>
          <w:sz w:val="32"/>
          <w:szCs w:val="32"/>
        </w:rPr>
        <w:t>治疗期间的相关检查。</w:t>
      </w:r>
    </w:p>
    <w:p w14:paraId="701BAF17">
      <w:pPr>
        <w:overflowPunct w:val="0"/>
        <w:autoSpaceDE w:val="0"/>
        <w:autoSpaceDN w:val="0"/>
        <w:adjustRightInd w:val="0"/>
        <w:snapToGrid w:val="0"/>
        <w:spacing w:line="570" w:lineRule="exact"/>
        <w:ind w:firstLine="630" w:firstLineChars="197"/>
        <w:rPr>
          <w:rFonts w:ascii="楷体_GB2312" w:hAnsi="Times New Roman" w:eastAsia="楷体_GB2312"/>
          <w:bCs/>
          <w:sz w:val="32"/>
          <w:szCs w:val="32"/>
        </w:rPr>
      </w:pPr>
      <w:r>
        <w:rPr>
          <w:rFonts w:hint="eastAsia" w:ascii="楷体_GB2312" w:hAnsi="Times New Roman" w:eastAsia="楷体_GB2312"/>
          <w:bCs/>
          <w:sz w:val="32"/>
          <w:szCs w:val="32"/>
        </w:rPr>
        <w:t>（四）复审期限</w:t>
      </w:r>
    </w:p>
    <w:p w14:paraId="13922DDA">
      <w:pPr>
        <w:overflowPunct w:val="0"/>
        <w:autoSpaceDE w:val="0"/>
        <w:autoSpaceDN w:val="0"/>
        <w:adjustRightInd w:val="0"/>
        <w:snapToGrid w:val="0"/>
        <w:spacing w:line="570" w:lineRule="exact"/>
        <w:ind w:firstLine="640" w:firstLineChars="200"/>
        <w:rPr>
          <w:rFonts w:ascii="仿宋_GB2312" w:hAnsi="仿宋_GB2312" w:eastAsia="仿宋_GB2312"/>
          <w:bCs/>
          <w:sz w:val="32"/>
          <w:szCs w:val="32"/>
        </w:rPr>
      </w:pPr>
      <w:r>
        <w:rPr>
          <w:rFonts w:hint="eastAsia" w:ascii="仿宋_GB2312" w:hAnsi="仿宋_GB2312" w:eastAsia="仿宋_GB2312"/>
          <w:bCs/>
          <w:sz w:val="32"/>
          <w:szCs w:val="32"/>
        </w:rPr>
        <w:t>每</w:t>
      </w:r>
      <w:r>
        <w:rPr>
          <w:rFonts w:hint="eastAsia" w:ascii="仿宋_GB2312" w:hAnsi="Times New Roman" w:eastAsia="仿宋_GB2312"/>
          <w:bCs/>
          <w:sz w:val="32"/>
          <w:szCs w:val="32"/>
        </w:rPr>
        <w:t>10</w:t>
      </w:r>
      <w:r>
        <w:rPr>
          <w:rFonts w:hint="eastAsia" w:ascii="仿宋_GB2312" w:hAnsi="仿宋_GB2312" w:eastAsia="仿宋_GB2312"/>
          <w:bCs/>
          <w:sz w:val="32"/>
          <w:szCs w:val="32"/>
        </w:rPr>
        <w:t>年复审一次。</w:t>
      </w:r>
    </w:p>
    <w:p w14:paraId="0580BA13">
      <w:pPr>
        <w:overflowPunct w:val="0"/>
        <w:autoSpaceDE w:val="0"/>
        <w:autoSpaceDN w:val="0"/>
        <w:adjustRightInd w:val="0"/>
        <w:snapToGrid w:val="0"/>
        <w:spacing w:line="570" w:lineRule="exact"/>
        <w:ind w:firstLine="640" w:firstLineChars="200"/>
        <w:rPr>
          <w:rFonts w:ascii="黑体" w:hAnsi="黑体" w:eastAsia="黑体"/>
          <w:sz w:val="32"/>
          <w:szCs w:val="32"/>
        </w:rPr>
      </w:pPr>
      <w:r>
        <w:rPr>
          <w:rFonts w:hint="eastAsia" w:ascii="黑体" w:hAnsi="黑体" w:eastAsia="黑体"/>
          <w:sz w:val="32"/>
          <w:szCs w:val="32"/>
        </w:rPr>
        <w:t>二、强直性脊柱炎</w:t>
      </w:r>
    </w:p>
    <w:p w14:paraId="18EA3B0E">
      <w:pPr>
        <w:overflowPunct w:val="0"/>
        <w:autoSpaceDE w:val="0"/>
        <w:autoSpaceDN w:val="0"/>
        <w:adjustRightInd w:val="0"/>
        <w:snapToGrid w:val="0"/>
        <w:spacing w:line="570" w:lineRule="exact"/>
        <w:ind w:firstLine="640" w:firstLineChars="200"/>
        <w:rPr>
          <w:rFonts w:ascii="仿宋_GB2312" w:hAnsi="Times New Roman" w:eastAsia="仿宋_GB2312"/>
          <w:sz w:val="32"/>
          <w:szCs w:val="32"/>
        </w:rPr>
      </w:pPr>
      <w:r>
        <w:rPr>
          <w:rFonts w:hint="eastAsia" w:ascii="楷体_GB2312" w:hAnsi="Times New Roman" w:eastAsia="楷体_GB2312"/>
          <w:bCs/>
          <w:sz w:val="32"/>
          <w:szCs w:val="32"/>
        </w:rPr>
        <w:t>（一）申报资料</w:t>
      </w:r>
    </w:p>
    <w:p w14:paraId="1EE43EBC">
      <w:pPr>
        <w:overflowPunct w:val="0"/>
        <w:autoSpaceDE w:val="0"/>
        <w:autoSpaceDN w:val="0"/>
        <w:adjustRightInd w:val="0"/>
        <w:snapToGrid w:val="0"/>
        <w:spacing w:line="570" w:lineRule="exact"/>
        <w:rPr>
          <w:rFonts w:ascii="仿宋_GB2312" w:hAnsi="Times New Roman" w:eastAsia="仿宋_GB2312"/>
          <w:sz w:val="32"/>
          <w:szCs w:val="32"/>
        </w:rPr>
      </w:pPr>
      <w:r>
        <w:rPr>
          <w:rFonts w:hint="eastAsia" w:ascii="仿宋_GB2312" w:hAnsi="Times New Roman" w:eastAsia="仿宋_GB2312"/>
          <w:sz w:val="32"/>
          <w:szCs w:val="32"/>
        </w:rPr>
        <w:t xml:space="preserve">    1.</w:t>
      </w:r>
      <w:r>
        <w:rPr>
          <w:rFonts w:hint="eastAsia" w:ascii="仿宋_GB2312" w:hAnsi="仿宋_GB2312" w:eastAsia="仿宋_GB2312"/>
          <w:sz w:val="32"/>
          <w:szCs w:val="32"/>
        </w:rPr>
        <w:t>初次申办或待遇期满续办者须提供患者本人近半年内的与所申请病种相符合的住院病历或医保定点医疗机构的体检资料，资料需满足以下第</w:t>
      </w:r>
      <w:r>
        <w:rPr>
          <w:rFonts w:hint="eastAsia" w:ascii="仿宋_GB2312" w:hAnsi="Times New Roman" w:eastAsia="仿宋_GB2312"/>
          <w:sz w:val="32"/>
          <w:szCs w:val="32"/>
        </w:rPr>
        <w:t>2</w:t>
      </w:r>
      <w:r>
        <w:rPr>
          <w:rFonts w:hint="eastAsia" w:ascii="仿宋_GB2312" w:hAnsi="仿宋_GB2312" w:eastAsia="仿宋_GB2312"/>
          <w:sz w:val="32"/>
          <w:szCs w:val="32"/>
        </w:rPr>
        <w:t>条或者第</w:t>
      </w:r>
      <w:r>
        <w:rPr>
          <w:rFonts w:hint="eastAsia" w:ascii="仿宋_GB2312" w:hAnsi="Times New Roman" w:eastAsia="仿宋_GB2312"/>
          <w:sz w:val="32"/>
          <w:szCs w:val="32"/>
        </w:rPr>
        <w:t>3</w:t>
      </w:r>
      <w:r>
        <w:rPr>
          <w:rFonts w:hint="eastAsia" w:ascii="仿宋_GB2312" w:hAnsi="仿宋_GB2312" w:eastAsia="仿宋_GB2312"/>
          <w:sz w:val="32"/>
          <w:szCs w:val="32"/>
        </w:rPr>
        <w:t>条，且有副主任以上医师诊断证明者、专科诊疗计划；</w:t>
      </w:r>
    </w:p>
    <w:p w14:paraId="711660CC">
      <w:pPr>
        <w:overflowPunct w:val="0"/>
        <w:autoSpaceDE w:val="0"/>
        <w:autoSpaceDN w:val="0"/>
        <w:adjustRightInd w:val="0"/>
        <w:snapToGrid w:val="0"/>
        <w:spacing w:line="570" w:lineRule="exact"/>
        <w:rPr>
          <w:rFonts w:ascii="仿宋_GB2312" w:hAnsi="Times New Roman" w:eastAsia="仿宋_GB2312"/>
          <w:sz w:val="32"/>
          <w:szCs w:val="32"/>
        </w:rPr>
      </w:pPr>
      <w:r>
        <w:rPr>
          <w:rFonts w:hint="eastAsia" w:ascii="仿宋_GB2312" w:hAnsi="Times New Roman" w:eastAsia="仿宋_GB2312"/>
          <w:sz w:val="32"/>
          <w:szCs w:val="32"/>
        </w:rPr>
        <w:t xml:space="preserve">    2.HLA-B27</w:t>
      </w:r>
      <w:r>
        <w:rPr>
          <w:rFonts w:hint="eastAsia" w:ascii="仿宋_GB2312" w:hAnsi="仿宋_GB2312" w:eastAsia="仿宋_GB2312"/>
          <w:sz w:val="32"/>
          <w:szCs w:val="32"/>
        </w:rPr>
        <w:t>阳性，且满足以下</w:t>
      </w:r>
      <w:r>
        <w:rPr>
          <w:rFonts w:hint="eastAsia" w:ascii="仿宋_GB2312" w:hAnsi="Times New Roman" w:eastAsia="仿宋_GB2312"/>
          <w:sz w:val="32"/>
          <w:szCs w:val="32"/>
        </w:rPr>
        <w:t>3</w:t>
      </w:r>
      <w:r>
        <w:rPr>
          <w:rFonts w:hint="eastAsia" w:ascii="仿宋_GB2312" w:hAnsi="仿宋_GB2312" w:eastAsia="仿宋_GB2312"/>
          <w:sz w:val="32"/>
          <w:szCs w:val="32"/>
        </w:rPr>
        <w:t>项中</w:t>
      </w:r>
      <w:r>
        <w:rPr>
          <w:rFonts w:hint="eastAsia" w:ascii="仿宋_GB2312" w:hAnsi="Times New Roman" w:eastAsia="仿宋_GB2312"/>
          <w:sz w:val="32"/>
          <w:szCs w:val="32"/>
        </w:rPr>
        <w:t>1</w:t>
      </w:r>
      <w:r>
        <w:rPr>
          <w:rFonts w:hint="eastAsia" w:ascii="仿宋_GB2312" w:hAnsi="仿宋_GB2312" w:eastAsia="仿宋_GB2312"/>
          <w:sz w:val="32"/>
          <w:szCs w:val="32"/>
        </w:rPr>
        <w:t>项：（</w:t>
      </w:r>
      <w:r>
        <w:rPr>
          <w:rFonts w:hint="eastAsia" w:ascii="仿宋_GB2312" w:hAnsi="Times New Roman" w:eastAsia="仿宋_GB2312"/>
          <w:sz w:val="32"/>
          <w:szCs w:val="32"/>
        </w:rPr>
        <w:t>1</w:t>
      </w:r>
      <w:r>
        <w:rPr>
          <w:rFonts w:hint="eastAsia" w:ascii="仿宋_GB2312" w:hAnsi="仿宋_GB2312" w:eastAsia="仿宋_GB2312"/>
          <w:sz w:val="32"/>
          <w:szCs w:val="32"/>
        </w:rPr>
        <w:t>）</w:t>
      </w:r>
      <w:r>
        <w:rPr>
          <w:rFonts w:hint="eastAsia" w:ascii="仿宋_GB2312" w:hAnsi="Times New Roman" w:eastAsia="仿宋_GB2312"/>
          <w:sz w:val="32"/>
          <w:szCs w:val="32"/>
        </w:rPr>
        <w:t>X</w:t>
      </w:r>
      <w:r>
        <w:rPr>
          <w:rFonts w:hint="eastAsia" w:ascii="仿宋_GB2312" w:hAnsi="仿宋_GB2312" w:eastAsia="仿宋_GB2312"/>
          <w:sz w:val="32"/>
          <w:szCs w:val="32"/>
        </w:rPr>
        <w:t>线证实的</w:t>
      </w:r>
      <w:r>
        <w:rPr>
          <w:rFonts w:hint="eastAsia" w:ascii="仿宋_GB2312" w:hAnsi="Times New Roman" w:eastAsia="仿宋_GB2312"/>
          <w:sz w:val="32"/>
          <w:szCs w:val="32"/>
        </w:rPr>
        <w:t>III-IV</w:t>
      </w:r>
      <w:r>
        <w:rPr>
          <w:rFonts w:hint="eastAsia" w:ascii="仿宋_GB2312" w:hAnsi="仿宋_GB2312" w:eastAsia="仿宋_GB2312"/>
          <w:sz w:val="32"/>
          <w:szCs w:val="32"/>
        </w:rPr>
        <w:t>级单侧骶髂关节炎或</w:t>
      </w:r>
      <w:r>
        <w:rPr>
          <w:rFonts w:hint="eastAsia" w:ascii="仿宋_GB2312" w:hAnsi="Times New Roman" w:eastAsia="仿宋_GB2312"/>
          <w:sz w:val="32"/>
          <w:szCs w:val="32"/>
        </w:rPr>
        <w:t>II</w:t>
      </w:r>
      <w:r>
        <w:rPr>
          <w:rFonts w:hint="eastAsia" w:ascii="仿宋_GB2312" w:hAnsi="仿宋_GB2312" w:eastAsia="仿宋_GB2312"/>
          <w:sz w:val="32"/>
          <w:szCs w:val="32"/>
        </w:rPr>
        <w:t>级双侧骶髂关节炎（</w:t>
      </w:r>
      <w:r>
        <w:rPr>
          <w:rFonts w:hint="eastAsia" w:ascii="仿宋_GB2312" w:hAnsi="Times New Roman" w:eastAsia="仿宋_GB2312"/>
          <w:sz w:val="32"/>
          <w:szCs w:val="32"/>
        </w:rPr>
        <w:t>2</w:t>
      </w:r>
      <w:r>
        <w:rPr>
          <w:rFonts w:hint="eastAsia" w:ascii="仿宋_GB2312" w:hAnsi="仿宋_GB2312" w:eastAsia="仿宋_GB2312"/>
          <w:sz w:val="32"/>
          <w:szCs w:val="32"/>
        </w:rPr>
        <w:t>）</w:t>
      </w:r>
    </w:p>
    <w:p w14:paraId="274D79DF">
      <w:pPr>
        <w:overflowPunct w:val="0"/>
        <w:autoSpaceDE w:val="0"/>
        <w:autoSpaceDN w:val="0"/>
        <w:adjustRightInd w:val="0"/>
        <w:snapToGrid w:val="0"/>
        <w:spacing w:line="570" w:lineRule="exact"/>
        <w:rPr>
          <w:rFonts w:ascii="仿宋_GB2312" w:hAnsi="Times New Roman" w:eastAsia="仿宋_GB2312"/>
          <w:sz w:val="32"/>
          <w:szCs w:val="32"/>
        </w:rPr>
      </w:pPr>
      <w:r>
        <w:rPr>
          <w:rFonts w:hint="eastAsia" w:ascii="仿宋_GB2312" w:hAnsi="Times New Roman" w:eastAsia="仿宋_GB2312"/>
          <w:sz w:val="32"/>
          <w:szCs w:val="32"/>
        </w:rPr>
        <w:t>X</w:t>
      </w:r>
      <w:r>
        <w:rPr>
          <w:rFonts w:hint="eastAsia" w:ascii="仿宋_GB2312" w:hAnsi="仿宋_GB2312" w:eastAsia="仿宋_GB2312"/>
          <w:sz w:val="32"/>
          <w:szCs w:val="32"/>
        </w:rPr>
        <w:t>线证实脊柱竹节样改变（颈、腰椎生理曲度明显变直，脊柱呈</w:t>
      </w:r>
      <w:r>
        <w:rPr>
          <w:rFonts w:hint="eastAsia" w:ascii="仿宋_GB2312" w:hAnsi="Times New Roman" w:eastAsia="仿宋_GB2312"/>
          <w:sz w:val="32"/>
          <w:szCs w:val="32"/>
        </w:rPr>
        <w:t>“</w:t>
      </w:r>
      <w:r>
        <w:rPr>
          <w:rFonts w:hint="eastAsia" w:ascii="仿宋_GB2312" w:hAnsi="仿宋_GB2312" w:eastAsia="仿宋_GB2312"/>
          <w:sz w:val="32"/>
          <w:szCs w:val="32"/>
        </w:rPr>
        <w:t>竹节状</w:t>
      </w:r>
      <w:r>
        <w:rPr>
          <w:rFonts w:hint="eastAsia" w:ascii="仿宋_GB2312" w:hAnsi="Times New Roman" w:eastAsia="仿宋_GB2312"/>
          <w:sz w:val="32"/>
          <w:szCs w:val="32"/>
        </w:rPr>
        <w:t>”</w:t>
      </w:r>
      <w:r>
        <w:rPr>
          <w:rFonts w:hint="eastAsia" w:ascii="仿宋_GB2312" w:hAnsi="仿宋_GB2312" w:eastAsia="仿宋_GB2312"/>
          <w:sz w:val="32"/>
          <w:szCs w:val="32"/>
        </w:rPr>
        <w:t>，椎体小关节间隙大部分消失，前纵、后纵、侧、棘上及棘间等韧带骨化，见</w:t>
      </w:r>
      <w:r>
        <w:rPr>
          <w:rFonts w:hint="eastAsia" w:ascii="仿宋_GB2312" w:hAnsi="Times New Roman" w:eastAsia="仿宋_GB2312"/>
          <w:sz w:val="32"/>
          <w:szCs w:val="32"/>
        </w:rPr>
        <w:t>“</w:t>
      </w:r>
      <w:r>
        <w:rPr>
          <w:rFonts w:hint="eastAsia" w:ascii="仿宋_GB2312" w:hAnsi="仿宋_GB2312" w:eastAsia="仿宋_GB2312"/>
          <w:sz w:val="32"/>
          <w:szCs w:val="32"/>
        </w:rPr>
        <w:t>手推车辙征</w:t>
      </w:r>
      <w:r>
        <w:rPr>
          <w:rFonts w:hint="eastAsia" w:ascii="仿宋_GB2312" w:hAnsi="Times New Roman" w:eastAsia="仿宋_GB2312"/>
          <w:sz w:val="32"/>
          <w:szCs w:val="32"/>
        </w:rPr>
        <w:t>”</w:t>
      </w:r>
      <w:r>
        <w:rPr>
          <w:rFonts w:hint="eastAsia" w:ascii="仿宋_GB2312" w:hAnsi="仿宋_GB2312" w:eastAsia="仿宋_GB2312"/>
          <w:sz w:val="32"/>
          <w:szCs w:val="32"/>
        </w:rPr>
        <w:t>）（</w:t>
      </w:r>
      <w:r>
        <w:rPr>
          <w:rFonts w:hint="eastAsia" w:ascii="仿宋_GB2312" w:hAnsi="Times New Roman" w:eastAsia="仿宋_GB2312"/>
          <w:sz w:val="32"/>
          <w:szCs w:val="32"/>
        </w:rPr>
        <w:t>3</w:t>
      </w:r>
      <w:r>
        <w:rPr>
          <w:rFonts w:hint="eastAsia" w:ascii="仿宋_GB2312" w:hAnsi="仿宋_GB2312" w:eastAsia="仿宋_GB2312"/>
          <w:sz w:val="32"/>
          <w:szCs w:val="32"/>
        </w:rPr>
        <w:t>）</w:t>
      </w:r>
      <w:r>
        <w:rPr>
          <w:rFonts w:hint="eastAsia" w:ascii="仿宋_GB2312" w:hAnsi="Times New Roman" w:eastAsia="仿宋_GB2312"/>
          <w:sz w:val="32"/>
          <w:szCs w:val="32"/>
        </w:rPr>
        <w:t>MRI</w:t>
      </w:r>
      <w:r>
        <w:rPr>
          <w:rFonts w:hint="eastAsia" w:ascii="仿宋_GB2312" w:hAnsi="仿宋_GB2312" w:eastAsia="仿宋_GB2312"/>
          <w:sz w:val="32"/>
          <w:szCs w:val="32"/>
        </w:rPr>
        <w:t>提示骶髂关节活动性（急性）炎症，高度提示与</w:t>
      </w:r>
      <w:r>
        <w:rPr>
          <w:rFonts w:hint="eastAsia" w:ascii="仿宋_GB2312" w:hAnsi="Times New Roman" w:eastAsia="仿宋_GB2312"/>
          <w:sz w:val="32"/>
          <w:szCs w:val="32"/>
        </w:rPr>
        <w:t>SpA</w:t>
      </w:r>
      <w:r>
        <w:rPr>
          <w:rFonts w:hint="eastAsia" w:ascii="仿宋_GB2312" w:hAnsi="仿宋_GB2312" w:eastAsia="仿宋_GB2312"/>
          <w:sz w:val="32"/>
          <w:szCs w:val="32"/>
        </w:rPr>
        <w:t>相关的骶髂关节炎；</w:t>
      </w:r>
    </w:p>
    <w:p w14:paraId="052B1AD2">
      <w:pPr>
        <w:overflowPunct w:val="0"/>
        <w:autoSpaceDE w:val="0"/>
        <w:autoSpaceDN w:val="0"/>
        <w:adjustRightInd w:val="0"/>
        <w:snapToGrid w:val="0"/>
        <w:spacing w:line="570" w:lineRule="exact"/>
        <w:ind w:firstLine="640"/>
        <w:rPr>
          <w:rFonts w:ascii="仿宋_GB2312" w:hAnsi="Times New Roman" w:eastAsia="仿宋_GB2312"/>
          <w:sz w:val="32"/>
          <w:szCs w:val="32"/>
        </w:rPr>
      </w:pPr>
      <w:r>
        <w:rPr>
          <w:rFonts w:hint="eastAsia" w:ascii="仿宋_GB2312" w:hAnsi="Times New Roman" w:eastAsia="仿宋_GB2312"/>
          <w:sz w:val="32"/>
          <w:szCs w:val="32"/>
        </w:rPr>
        <w:t>3.HLA-B27</w:t>
      </w:r>
      <w:r>
        <w:rPr>
          <w:rFonts w:hint="eastAsia" w:ascii="仿宋_GB2312" w:hAnsi="仿宋_GB2312" w:eastAsia="仿宋_GB2312"/>
          <w:sz w:val="32"/>
          <w:szCs w:val="32"/>
        </w:rPr>
        <w:t>阴性，且满足以下</w:t>
      </w:r>
      <w:r>
        <w:rPr>
          <w:rFonts w:hint="eastAsia" w:ascii="仿宋_GB2312" w:hAnsi="Times New Roman" w:eastAsia="仿宋_GB2312"/>
          <w:sz w:val="32"/>
          <w:szCs w:val="32"/>
        </w:rPr>
        <w:t>3</w:t>
      </w:r>
      <w:r>
        <w:rPr>
          <w:rFonts w:hint="eastAsia" w:ascii="仿宋_GB2312" w:hAnsi="仿宋_GB2312" w:eastAsia="仿宋_GB2312"/>
          <w:sz w:val="32"/>
          <w:szCs w:val="32"/>
        </w:rPr>
        <w:t>项中</w:t>
      </w:r>
      <w:r>
        <w:rPr>
          <w:rFonts w:hint="eastAsia" w:ascii="仿宋_GB2312" w:hAnsi="Times New Roman" w:eastAsia="仿宋_GB2312"/>
          <w:sz w:val="32"/>
          <w:szCs w:val="32"/>
        </w:rPr>
        <w:t>1</w:t>
      </w:r>
      <w:r>
        <w:rPr>
          <w:rFonts w:hint="eastAsia" w:ascii="仿宋_GB2312" w:hAnsi="仿宋_GB2312" w:eastAsia="仿宋_GB2312"/>
          <w:sz w:val="32"/>
          <w:szCs w:val="32"/>
        </w:rPr>
        <w:t>项：（</w:t>
      </w:r>
      <w:r>
        <w:rPr>
          <w:rFonts w:hint="eastAsia" w:ascii="仿宋_GB2312" w:hAnsi="Times New Roman" w:eastAsia="仿宋_GB2312"/>
          <w:sz w:val="32"/>
          <w:szCs w:val="32"/>
        </w:rPr>
        <w:t>1</w:t>
      </w:r>
      <w:r>
        <w:rPr>
          <w:rFonts w:hint="eastAsia" w:ascii="仿宋_GB2312" w:hAnsi="仿宋_GB2312" w:eastAsia="仿宋_GB2312"/>
          <w:sz w:val="32"/>
          <w:szCs w:val="32"/>
        </w:rPr>
        <w:t>）</w:t>
      </w:r>
      <w:r>
        <w:rPr>
          <w:rFonts w:hint="eastAsia" w:ascii="仿宋_GB2312" w:hAnsi="Times New Roman" w:eastAsia="仿宋_GB2312"/>
          <w:sz w:val="32"/>
          <w:szCs w:val="32"/>
        </w:rPr>
        <w:t>X</w:t>
      </w:r>
      <w:r>
        <w:rPr>
          <w:rFonts w:hint="eastAsia" w:ascii="仿宋_GB2312" w:hAnsi="仿宋_GB2312" w:eastAsia="仿宋_GB2312"/>
          <w:sz w:val="32"/>
          <w:szCs w:val="32"/>
        </w:rPr>
        <w:t>线证实的</w:t>
      </w:r>
      <w:r>
        <w:rPr>
          <w:rFonts w:hint="eastAsia" w:ascii="仿宋_GB2312" w:hAnsi="Times New Roman" w:eastAsia="仿宋_GB2312"/>
          <w:sz w:val="32"/>
          <w:szCs w:val="32"/>
        </w:rPr>
        <w:t>III-IV</w:t>
      </w:r>
      <w:r>
        <w:rPr>
          <w:rFonts w:hint="eastAsia" w:ascii="仿宋_GB2312" w:hAnsi="仿宋_GB2312" w:eastAsia="仿宋_GB2312"/>
          <w:sz w:val="32"/>
          <w:szCs w:val="32"/>
        </w:rPr>
        <w:t>级单侧骶髂关节炎或</w:t>
      </w:r>
      <w:r>
        <w:rPr>
          <w:rFonts w:hint="eastAsia" w:ascii="仿宋_GB2312" w:hAnsi="Times New Roman" w:eastAsia="仿宋_GB2312"/>
          <w:sz w:val="32"/>
          <w:szCs w:val="32"/>
        </w:rPr>
        <w:t>II</w:t>
      </w:r>
      <w:r>
        <w:rPr>
          <w:rFonts w:hint="eastAsia" w:ascii="仿宋_GB2312" w:hAnsi="仿宋_GB2312" w:eastAsia="仿宋_GB2312"/>
          <w:sz w:val="32"/>
          <w:szCs w:val="32"/>
        </w:rPr>
        <w:t>级双侧骶髂关节炎（</w:t>
      </w:r>
      <w:r>
        <w:rPr>
          <w:rFonts w:hint="eastAsia" w:ascii="仿宋_GB2312" w:hAnsi="Times New Roman" w:eastAsia="仿宋_GB2312"/>
          <w:sz w:val="32"/>
          <w:szCs w:val="32"/>
        </w:rPr>
        <w:t>2</w:t>
      </w:r>
      <w:r>
        <w:rPr>
          <w:rFonts w:hint="eastAsia" w:ascii="仿宋_GB2312" w:hAnsi="仿宋_GB2312" w:eastAsia="仿宋_GB2312"/>
          <w:sz w:val="32"/>
          <w:szCs w:val="32"/>
        </w:rPr>
        <w:t>）</w:t>
      </w:r>
      <w:r>
        <w:rPr>
          <w:rFonts w:hint="eastAsia" w:ascii="仿宋_GB2312" w:hAnsi="Times New Roman" w:eastAsia="仿宋_GB2312"/>
          <w:sz w:val="32"/>
          <w:szCs w:val="32"/>
        </w:rPr>
        <w:t>X</w:t>
      </w:r>
      <w:r>
        <w:rPr>
          <w:rFonts w:hint="eastAsia" w:ascii="仿宋_GB2312" w:hAnsi="仿宋_GB2312" w:eastAsia="仿宋_GB2312"/>
          <w:sz w:val="32"/>
          <w:szCs w:val="32"/>
        </w:rPr>
        <w:t>线证实脊柱竹节样改变（颈、腰椎生理曲度明显变直，脊柱呈</w:t>
      </w:r>
      <w:r>
        <w:rPr>
          <w:rFonts w:hint="eastAsia" w:ascii="仿宋_GB2312" w:hAnsi="Times New Roman" w:eastAsia="仿宋_GB2312"/>
          <w:sz w:val="32"/>
          <w:szCs w:val="32"/>
        </w:rPr>
        <w:t>“</w:t>
      </w:r>
      <w:r>
        <w:rPr>
          <w:rFonts w:hint="eastAsia" w:ascii="仿宋_GB2312" w:hAnsi="仿宋_GB2312" w:eastAsia="仿宋_GB2312"/>
          <w:sz w:val="32"/>
          <w:szCs w:val="32"/>
        </w:rPr>
        <w:t>竹节状</w:t>
      </w:r>
      <w:r>
        <w:rPr>
          <w:rFonts w:hint="eastAsia" w:ascii="仿宋_GB2312" w:hAnsi="Times New Roman" w:eastAsia="仿宋_GB2312"/>
          <w:sz w:val="32"/>
          <w:szCs w:val="32"/>
        </w:rPr>
        <w:t>”</w:t>
      </w:r>
      <w:r>
        <w:rPr>
          <w:rFonts w:hint="eastAsia" w:ascii="仿宋_GB2312" w:hAnsi="仿宋_GB2312" w:eastAsia="仿宋_GB2312"/>
          <w:sz w:val="32"/>
          <w:szCs w:val="32"/>
        </w:rPr>
        <w:t>，椎体小关节间隙大部分消失，前纵、后纵、侧、棘上及棘间等韧带骨化，见</w:t>
      </w:r>
      <w:r>
        <w:rPr>
          <w:rFonts w:hint="eastAsia" w:ascii="仿宋_GB2312" w:hAnsi="Times New Roman" w:eastAsia="仿宋_GB2312"/>
          <w:sz w:val="32"/>
          <w:szCs w:val="32"/>
        </w:rPr>
        <w:t>“</w:t>
      </w:r>
      <w:r>
        <w:rPr>
          <w:rFonts w:hint="eastAsia" w:ascii="仿宋_GB2312" w:hAnsi="仿宋_GB2312" w:eastAsia="仿宋_GB2312"/>
          <w:sz w:val="32"/>
          <w:szCs w:val="32"/>
        </w:rPr>
        <w:t>手推车辙征</w:t>
      </w:r>
      <w:r>
        <w:rPr>
          <w:rFonts w:hint="eastAsia" w:ascii="仿宋_GB2312" w:hAnsi="Times New Roman" w:eastAsia="仿宋_GB2312"/>
          <w:sz w:val="32"/>
          <w:szCs w:val="32"/>
        </w:rPr>
        <w:t>”</w:t>
      </w:r>
      <w:r>
        <w:rPr>
          <w:rFonts w:hint="eastAsia" w:ascii="仿宋_GB2312" w:hAnsi="仿宋_GB2312" w:eastAsia="仿宋_GB2312"/>
          <w:sz w:val="32"/>
          <w:szCs w:val="32"/>
        </w:rPr>
        <w:t>）（</w:t>
      </w:r>
      <w:r>
        <w:rPr>
          <w:rFonts w:hint="eastAsia" w:ascii="仿宋_GB2312" w:hAnsi="Times New Roman" w:eastAsia="仿宋_GB2312"/>
          <w:sz w:val="32"/>
          <w:szCs w:val="32"/>
        </w:rPr>
        <w:t>3</w:t>
      </w:r>
      <w:r>
        <w:rPr>
          <w:rFonts w:hint="eastAsia" w:ascii="仿宋_GB2312" w:hAnsi="仿宋_GB2312" w:eastAsia="仿宋_GB2312"/>
          <w:sz w:val="32"/>
          <w:szCs w:val="32"/>
        </w:rPr>
        <w:t>）</w:t>
      </w:r>
      <w:r>
        <w:rPr>
          <w:rFonts w:hint="eastAsia" w:ascii="仿宋_GB2312" w:hAnsi="Times New Roman" w:eastAsia="仿宋_GB2312"/>
          <w:sz w:val="32"/>
          <w:szCs w:val="32"/>
        </w:rPr>
        <w:t>MRI</w:t>
      </w:r>
      <w:r>
        <w:rPr>
          <w:rFonts w:hint="eastAsia" w:ascii="仿宋_GB2312" w:hAnsi="仿宋_GB2312" w:eastAsia="仿宋_GB2312"/>
          <w:sz w:val="32"/>
          <w:szCs w:val="32"/>
        </w:rPr>
        <w:t>提示骶髂关节活动性（急性）炎症，高度提示与</w:t>
      </w:r>
      <w:r>
        <w:rPr>
          <w:rFonts w:hint="eastAsia" w:ascii="仿宋_GB2312" w:hAnsi="Times New Roman" w:eastAsia="仿宋_GB2312"/>
          <w:sz w:val="32"/>
          <w:szCs w:val="32"/>
        </w:rPr>
        <w:t>SpA</w:t>
      </w:r>
      <w:r>
        <w:rPr>
          <w:rFonts w:hint="eastAsia" w:ascii="仿宋_GB2312" w:hAnsi="仿宋_GB2312" w:eastAsia="仿宋_GB2312"/>
          <w:sz w:val="32"/>
          <w:szCs w:val="32"/>
        </w:rPr>
        <w:t>相关的骶髂关节炎，并</w:t>
      </w:r>
      <w:r>
        <w:rPr>
          <w:rFonts w:hint="eastAsia" w:ascii="仿宋_GB2312" w:hAnsi="Times New Roman" w:eastAsia="仿宋_GB2312"/>
          <w:sz w:val="32"/>
          <w:szCs w:val="32"/>
        </w:rPr>
        <w:t>X</w:t>
      </w:r>
      <w:r>
        <w:rPr>
          <w:rFonts w:hint="eastAsia" w:ascii="仿宋_GB2312" w:hAnsi="仿宋_GB2312" w:eastAsia="仿宋_GB2312"/>
          <w:sz w:val="32"/>
          <w:szCs w:val="32"/>
        </w:rPr>
        <w:t>血沉（</w:t>
      </w:r>
      <w:r>
        <w:rPr>
          <w:rFonts w:hint="eastAsia" w:ascii="仿宋_GB2312" w:hAnsi="Times New Roman" w:eastAsia="仿宋_GB2312"/>
          <w:sz w:val="32"/>
          <w:szCs w:val="32"/>
        </w:rPr>
        <w:t>ESR</w:t>
      </w:r>
      <w:r>
        <w:rPr>
          <w:rFonts w:hint="eastAsia" w:ascii="仿宋_GB2312" w:hAnsi="仿宋_GB2312" w:eastAsia="仿宋_GB2312"/>
          <w:sz w:val="32"/>
          <w:szCs w:val="32"/>
        </w:rPr>
        <w:t>）或</w:t>
      </w:r>
      <w:r>
        <w:rPr>
          <w:rFonts w:hint="eastAsia" w:ascii="仿宋_GB2312" w:hAnsi="Times New Roman" w:eastAsia="仿宋_GB2312"/>
          <w:sz w:val="32"/>
          <w:szCs w:val="32"/>
        </w:rPr>
        <w:t>CRP</w:t>
      </w:r>
      <w:r>
        <w:rPr>
          <w:rFonts w:hint="eastAsia" w:ascii="仿宋_GB2312" w:hAnsi="仿宋_GB2312" w:eastAsia="仿宋_GB2312"/>
          <w:sz w:val="32"/>
          <w:szCs w:val="32"/>
        </w:rPr>
        <w:t>升高。</w:t>
      </w:r>
      <w:r>
        <w:rPr>
          <w:rFonts w:hint="eastAsia" w:ascii="仿宋_GB2312" w:hAnsi="Times New Roman" w:eastAsia="仿宋_GB2312"/>
          <w:sz w:val="32"/>
          <w:szCs w:val="32"/>
        </w:rPr>
        <w:t xml:space="preserve"> </w:t>
      </w:r>
    </w:p>
    <w:p w14:paraId="4C846BB2">
      <w:pPr>
        <w:overflowPunct w:val="0"/>
        <w:autoSpaceDE w:val="0"/>
        <w:autoSpaceDN w:val="0"/>
        <w:adjustRightInd w:val="0"/>
        <w:snapToGrid w:val="0"/>
        <w:spacing w:line="570" w:lineRule="exact"/>
        <w:ind w:firstLine="640" w:firstLineChars="200"/>
        <w:rPr>
          <w:rFonts w:ascii="仿宋_GB2312" w:hAnsi="Times New Roman" w:eastAsia="仿宋_GB2312"/>
          <w:sz w:val="32"/>
          <w:szCs w:val="32"/>
        </w:rPr>
      </w:pPr>
      <w:r>
        <w:rPr>
          <w:rFonts w:hint="eastAsia" w:ascii="楷体_GB2312" w:hAnsi="Times New Roman" w:eastAsia="楷体_GB2312"/>
          <w:bCs/>
          <w:sz w:val="32"/>
          <w:szCs w:val="32"/>
        </w:rPr>
        <w:t>（二）治疗指征（认定标准）</w:t>
      </w:r>
      <w:r>
        <w:rPr>
          <w:rFonts w:hint="eastAsia" w:ascii="仿宋_GB2312" w:hAnsi="Times New Roman" w:eastAsia="仿宋_GB2312"/>
          <w:sz w:val="32"/>
          <w:szCs w:val="32"/>
        </w:rPr>
        <w:t xml:space="preserve">    </w:t>
      </w:r>
    </w:p>
    <w:p w14:paraId="1360DFFF">
      <w:pPr>
        <w:overflowPunct w:val="0"/>
        <w:autoSpaceDE w:val="0"/>
        <w:autoSpaceDN w:val="0"/>
        <w:adjustRightInd w:val="0"/>
        <w:snapToGrid w:val="0"/>
        <w:spacing w:line="570" w:lineRule="exact"/>
        <w:ind w:firstLine="640" w:firstLineChars="200"/>
        <w:rPr>
          <w:rFonts w:ascii="仿宋_GB2312" w:hAnsi="Times New Roman" w:eastAsia="仿宋_GB2312"/>
          <w:sz w:val="32"/>
          <w:szCs w:val="32"/>
        </w:rPr>
      </w:pPr>
      <w:r>
        <w:rPr>
          <w:rFonts w:hint="eastAsia" w:ascii="仿宋_GB2312" w:hAnsi="Times New Roman" w:eastAsia="仿宋_GB2312"/>
          <w:sz w:val="32"/>
          <w:szCs w:val="32"/>
        </w:rPr>
        <w:t>1.</w:t>
      </w:r>
      <w:r>
        <w:rPr>
          <w:rFonts w:hint="eastAsia" w:ascii="仿宋_GB2312" w:hAnsi="仿宋_GB2312" w:eastAsia="仿宋_GB2312"/>
          <w:sz w:val="32"/>
          <w:szCs w:val="32"/>
        </w:rPr>
        <w:t>中重度炎性腰背部疼痛，明确的外周关节炎（膝关节、踝关节、足跟部炎症）；</w:t>
      </w:r>
    </w:p>
    <w:p w14:paraId="10807797">
      <w:pPr>
        <w:overflowPunct w:val="0"/>
        <w:autoSpaceDE w:val="0"/>
        <w:autoSpaceDN w:val="0"/>
        <w:adjustRightInd w:val="0"/>
        <w:snapToGrid w:val="0"/>
        <w:spacing w:line="570" w:lineRule="exact"/>
        <w:ind w:firstLine="640"/>
        <w:rPr>
          <w:rFonts w:ascii="仿宋_GB2312" w:hAnsi="Times New Roman" w:eastAsia="仿宋_GB2312"/>
          <w:sz w:val="32"/>
          <w:szCs w:val="32"/>
        </w:rPr>
      </w:pPr>
      <w:r>
        <w:rPr>
          <w:rFonts w:hint="eastAsia" w:ascii="仿宋_GB2312" w:hAnsi="Times New Roman" w:eastAsia="仿宋_GB2312"/>
          <w:sz w:val="32"/>
          <w:szCs w:val="32"/>
        </w:rPr>
        <w:t>2.</w:t>
      </w:r>
      <w:r>
        <w:rPr>
          <w:rFonts w:hint="eastAsia" w:ascii="仿宋_GB2312" w:hAnsi="仿宋_GB2312" w:eastAsia="仿宋_GB2312"/>
          <w:sz w:val="32"/>
          <w:szCs w:val="32"/>
        </w:rPr>
        <w:t>血沉或</w:t>
      </w:r>
      <w:r>
        <w:rPr>
          <w:rFonts w:hint="eastAsia" w:ascii="仿宋_GB2312" w:hAnsi="Times New Roman" w:eastAsia="仿宋_GB2312"/>
          <w:sz w:val="32"/>
          <w:szCs w:val="32"/>
        </w:rPr>
        <w:t>c</w:t>
      </w:r>
      <w:r>
        <w:rPr>
          <w:rFonts w:hint="eastAsia" w:ascii="仿宋_GB2312" w:hAnsi="仿宋_GB2312" w:eastAsia="仿宋_GB2312"/>
          <w:sz w:val="32"/>
          <w:szCs w:val="32"/>
        </w:rPr>
        <w:t>反应蛋白升高。</w:t>
      </w:r>
    </w:p>
    <w:p w14:paraId="17F0FD0F">
      <w:pPr>
        <w:overflowPunct w:val="0"/>
        <w:autoSpaceDE w:val="0"/>
        <w:autoSpaceDN w:val="0"/>
        <w:adjustRightInd w:val="0"/>
        <w:snapToGrid w:val="0"/>
        <w:spacing w:line="570" w:lineRule="exact"/>
        <w:ind w:firstLine="640" w:firstLineChars="200"/>
        <w:rPr>
          <w:rFonts w:ascii="楷体_GB2312" w:hAnsi="Times New Roman" w:eastAsia="楷体_GB2312"/>
          <w:bCs/>
          <w:sz w:val="32"/>
          <w:szCs w:val="32"/>
        </w:rPr>
      </w:pPr>
      <w:r>
        <w:rPr>
          <w:rFonts w:hint="eastAsia" w:ascii="楷体_GB2312" w:hAnsi="Times New Roman" w:eastAsia="楷体_GB2312"/>
          <w:bCs/>
          <w:sz w:val="32"/>
          <w:szCs w:val="32"/>
        </w:rPr>
        <w:t>（三）门诊诊疗范围</w:t>
      </w:r>
    </w:p>
    <w:p w14:paraId="3FBA7D69">
      <w:pPr>
        <w:overflowPunct w:val="0"/>
        <w:autoSpaceDE w:val="0"/>
        <w:autoSpaceDN w:val="0"/>
        <w:adjustRightInd w:val="0"/>
        <w:snapToGrid w:val="0"/>
        <w:spacing w:line="570" w:lineRule="exact"/>
        <w:rPr>
          <w:rFonts w:ascii="仿宋_GB2312" w:hAnsi="Times New Roman" w:eastAsia="仿宋_GB2312"/>
          <w:sz w:val="32"/>
          <w:szCs w:val="32"/>
        </w:rPr>
      </w:pPr>
      <w:r>
        <w:rPr>
          <w:rFonts w:hint="eastAsia" w:ascii="仿宋_GB2312" w:hAnsi="Times New Roman" w:eastAsia="仿宋_GB2312"/>
          <w:sz w:val="32"/>
          <w:szCs w:val="32"/>
        </w:rPr>
        <w:t xml:space="preserve">    1.</w:t>
      </w:r>
      <w:r>
        <w:rPr>
          <w:rFonts w:hint="eastAsia" w:ascii="仿宋_GB2312" w:hAnsi="仿宋_GB2312" w:eastAsia="仿宋_GB2312"/>
          <w:sz w:val="32"/>
          <w:szCs w:val="32"/>
        </w:rPr>
        <w:t>非甾体抗炎药、抗风湿慢作用药物、生物制剂、</w:t>
      </w:r>
      <w:r>
        <w:rPr>
          <w:rFonts w:hint="eastAsia" w:ascii="仿宋_GB2312" w:hAnsi="Times New Roman" w:eastAsia="仿宋_GB2312"/>
          <w:sz w:val="32"/>
          <w:szCs w:val="32"/>
        </w:rPr>
        <w:t>JAK</w:t>
      </w:r>
      <w:r>
        <w:rPr>
          <w:rFonts w:hint="eastAsia" w:ascii="仿宋_GB2312" w:hAnsi="仿宋_GB2312" w:eastAsia="仿宋_GB2312"/>
          <w:sz w:val="32"/>
          <w:szCs w:val="32"/>
        </w:rPr>
        <w:t>抑制剂、抗风湿中成药；</w:t>
      </w:r>
    </w:p>
    <w:p w14:paraId="6D4B4D58">
      <w:pPr>
        <w:overflowPunct w:val="0"/>
        <w:autoSpaceDE w:val="0"/>
        <w:autoSpaceDN w:val="0"/>
        <w:adjustRightInd w:val="0"/>
        <w:snapToGrid w:val="0"/>
        <w:spacing w:line="570" w:lineRule="exact"/>
        <w:rPr>
          <w:rFonts w:ascii="仿宋_GB2312" w:hAnsi="Times New Roman" w:eastAsia="仿宋_GB2312"/>
          <w:sz w:val="32"/>
          <w:szCs w:val="32"/>
        </w:rPr>
      </w:pPr>
      <w:r>
        <w:rPr>
          <w:rFonts w:hint="eastAsia" w:ascii="仿宋_GB2312" w:hAnsi="Times New Roman" w:eastAsia="仿宋_GB2312"/>
          <w:sz w:val="32"/>
          <w:szCs w:val="32"/>
        </w:rPr>
        <w:t xml:space="preserve">    2.</w:t>
      </w:r>
      <w:r>
        <w:rPr>
          <w:rFonts w:hint="eastAsia" w:ascii="仿宋_GB2312" w:hAnsi="仿宋_GB2312" w:eastAsia="仿宋_GB2312"/>
          <w:sz w:val="32"/>
          <w:szCs w:val="32"/>
        </w:rPr>
        <w:t>对症治疗的药物；</w:t>
      </w:r>
    </w:p>
    <w:p w14:paraId="7E7AD408">
      <w:pPr>
        <w:overflowPunct w:val="0"/>
        <w:autoSpaceDE w:val="0"/>
        <w:autoSpaceDN w:val="0"/>
        <w:adjustRightInd w:val="0"/>
        <w:snapToGrid w:val="0"/>
        <w:spacing w:line="570" w:lineRule="exact"/>
        <w:rPr>
          <w:rFonts w:ascii="仿宋_GB2312" w:hAnsi="Times New Roman" w:eastAsia="仿宋_GB2312"/>
          <w:sz w:val="32"/>
          <w:szCs w:val="32"/>
        </w:rPr>
      </w:pPr>
      <w:r>
        <w:rPr>
          <w:rFonts w:hint="eastAsia" w:ascii="仿宋_GB2312" w:hAnsi="Times New Roman" w:eastAsia="仿宋_GB2312"/>
          <w:sz w:val="32"/>
          <w:szCs w:val="32"/>
        </w:rPr>
        <w:t xml:space="preserve">    3.</w:t>
      </w:r>
      <w:r>
        <w:rPr>
          <w:rFonts w:hint="eastAsia" w:ascii="仿宋_GB2312" w:hAnsi="仿宋_GB2312" w:eastAsia="仿宋_GB2312"/>
          <w:sz w:val="32"/>
          <w:szCs w:val="32"/>
        </w:rPr>
        <w:t>治疗期间毒、副反应的治疗；</w:t>
      </w:r>
    </w:p>
    <w:p w14:paraId="0EABA48C">
      <w:pPr>
        <w:overflowPunct w:val="0"/>
        <w:autoSpaceDE w:val="0"/>
        <w:autoSpaceDN w:val="0"/>
        <w:adjustRightInd w:val="0"/>
        <w:snapToGrid w:val="0"/>
        <w:spacing w:line="570" w:lineRule="exact"/>
        <w:ind w:firstLine="640"/>
        <w:rPr>
          <w:rFonts w:ascii="仿宋_GB2312" w:hAnsi="Times New Roman" w:eastAsia="仿宋_GB2312"/>
          <w:sz w:val="32"/>
          <w:szCs w:val="32"/>
        </w:rPr>
      </w:pPr>
      <w:r>
        <w:rPr>
          <w:rFonts w:hint="eastAsia" w:ascii="仿宋_GB2312" w:hAnsi="Times New Roman" w:eastAsia="仿宋_GB2312"/>
          <w:sz w:val="32"/>
          <w:szCs w:val="32"/>
        </w:rPr>
        <w:t>4.</w:t>
      </w:r>
      <w:r>
        <w:rPr>
          <w:rFonts w:hint="eastAsia" w:ascii="仿宋_GB2312" w:hAnsi="仿宋_GB2312" w:eastAsia="仿宋_GB2312"/>
          <w:sz w:val="32"/>
          <w:szCs w:val="32"/>
        </w:rPr>
        <w:t>治疗期间的相关检查。</w:t>
      </w:r>
    </w:p>
    <w:p w14:paraId="15D9B233">
      <w:pPr>
        <w:overflowPunct w:val="0"/>
        <w:autoSpaceDE w:val="0"/>
        <w:autoSpaceDN w:val="0"/>
        <w:adjustRightInd w:val="0"/>
        <w:snapToGrid w:val="0"/>
        <w:spacing w:line="570" w:lineRule="exact"/>
        <w:ind w:firstLine="640" w:firstLineChars="200"/>
        <w:rPr>
          <w:rFonts w:ascii="楷体_GB2312" w:hAnsi="Times New Roman" w:eastAsia="楷体_GB2312"/>
          <w:bCs/>
          <w:sz w:val="32"/>
          <w:szCs w:val="32"/>
        </w:rPr>
      </w:pPr>
      <w:r>
        <w:rPr>
          <w:rFonts w:hint="eastAsia" w:ascii="楷体_GB2312" w:hAnsi="Times New Roman" w:eastAsia="楷体_GB2312"/>
          <w:bCs/>
          <w:sz w:val="32"/>
          <w:szCs w:val="32"/>
        </w:rPr>
        <w:t>（四）复审期限</w:t>
      </w:r>
    </w:p>
    <w:p w14:paraId="542192D9">
      <w:pPr>
        <w:overflowPunct w:val="0"/>
        <w:autoSpaceDE w:val="0"/>
        <w:autoSpaceDN w:val="0"/>
        <w:adjustRightInd w:val="0"/>
        <w:snapToGrid w:val="0"/>
        <w:spacing w:line="570" w:lineRule="exact"/>
        <w:rPr>
          <w:rFonts w:ascii="仿宋_GB2312" w:hAnsi="仿宋_GB2312" w:eastAsia="仿宋_GB2312"/>
          <w:bCs/>
          <w:sz w:val="32"/>
          <w:szCs w:val="32"/>
        </w:rPr>
      </w:pPr>
      <w:r>
        <w:rPr>
          <w:rFonts w:hint="eastAsia" w:ascii="仿宋_GB2312" w:hAnsi="仿宋_GB2312" w:eastAsia="仿宋_GB2312"/>
          <w:bCs/>
          <w:sz w:val="32"/>
          <w:szCs w:val="32"/>
        </w:rPr>
        <w:t>每</w:t>
      </w:r>
      <w:r>
        <w:rPr>
          <w:rFonts w:hint="eastAsia" w:ascii="仿宋_GB2312" w:hAnsi="Times New Roman" w:eastAsia="仿宋_GB2312"/>
          <w:bCs/>
          <w:sz w:val="32"/>
          <w:szCs w:val="32"/>
        </w:rPr>
        <w:t>10</w:t>
      </w:r>
      <w:r>
        <w:rPr>
          <w:rFonts w:hint="eastAsia" w:ascii="仿宋_GB2312" w:hAnsi="仿宋_GB2312" w:eastAsia="仿宋_GB2312"/>
          <w:bCs/>
          <w:sz w:val="32"/>
          <w:szCs w:val="32"/>
        </w:rPr>
        <w:t>年复审一次。</w:t>
      </w:r>
    </w:p>
    <w:p w14:paraId="210917EA">
      <w:pPr>
        <w:overflowPunct w:val="0"/>
        <w:autoSpaceDE w:val="0"/>
        <w:autoSpaceDN w:val="0"/>
        <w:adjustRightInd w:val="0"/>
        <w:snapToGrid w:val="0"/>
        <w:spacing w:line="570" w:lineRule="exact"/>
        <w:ind w:firstLine="320" w:firstLineChars="100"/>
        <w:rPr>
          <w:rFonts w:ascii="黑体" w:hAnsi="黑体" w:eastAsia="黑体"/>
          <w:sz w:val="32"/>
          <w:szCs w:val="32"/>
        </w:rPr>
      </w:pPr>
      <w:r>
        <w:rPr>
          <w:rFonts w:hint="eastAsia" w:ascii="黑体" w:hAnsi="黑体" w:eastAsia="黑体"/>
          <w:kern w:val="0"/>
          <w:sz w:val="32"/>
          <w:szCs w:val="32"/>
          <w:lang w:bidi="ar"/>
        </w:rPr>
        <w:t xml:space="preserve"> 三、糖尿病</w:t>
      </w:r>
      <w:r>
        <w:rPr>
          <w:rFonts w:hint="eastAsia" w:ascii="黑体" w:hAnsi="黑体" w:eastAsia="黑体"/>
          <w:kern w:val="0"/>
          <w:sz w:val="32"/>
          <w:szCs w:val="32"/>
          <w:lang w:eastAsia="zh-Hans" w:bidi="ar"/>
        </w:rPr>
        <w:t>伴有</w:t>
      </w:r>
      <w:r>
        <w:rPr>
          <w:rFonts w:hint="eastAsia" w:ascii="黑体" w:hAnsi="黑体" w:eastAsia="黑体"/>
          <w:kern w:val="0"/>
          <w:sz w:val="32"/>
          <w:szCs w:val="32"/>
          <w:lang w:bidi="ar"/>
        </w:rPr>
        <w:t>并发症（2种以内）、糖尿病</w:t>
      </w:r>
      <w:r>
        <w:rPr>
          <w:rFonts w:hint="eastAsia" w:ascii="黑体" w:hAnsi="黑体" w:eastAsia="黑体"/>
          <w:kern w:val="0"/>
          <w:sz w:val="32"/>
          <w:szCs w:val="32"/>
          <w:lang w:eastAsia="zh-Hans" w:bidi="ar"/>
        </w:rPr>
        <w:t>伴有</w:t>
      </w:r>
      <w:r>
        <w:rPr>
          <w:rFonts w:hint="eastAsia" w:ascii="黑体" w:hAnsi="黑体" w:eastAsia="黑体"/>
          <w:kern w:val="0"/>
          <w:sz w:val="32"/>
          <w:szCs w:val="32"/>
          <w:lang w:bidi="ar"/>
        </w:rPr>
        <w:t>并发症（3种及以上）</w:t>
      </w:r>
    </w:p>
    <w:p w14:paraId="1412BE80">
      <w:pPr>
        <w:overflowPunct w:val="0"/>
        <w:autoSpaceDE w:val="0"/>
        <w:autoSpaceDN w:val="0"/>
        <w:adjustRightInd w:val="0"/>
        <w:snapToGrid w:val="0"/>
        <w:spacing w:line="570" w:lineRule="exact"/>
        <w:ind w:firstLine="630" w:firstLineChars="197"/>
        <w:rPr>
          <w:rFonts w:ascii="楷体_GB2312" w:hAnsi="Times New Roman" w:eastAsia="楷体_GB2312"/>
          <w:bCs/>
          <w:sz w:val="32"/>
          <w:szCs w:val="32"/>
        </w:rPr>
      </w:pPr>
      <w:r>
        <w:rPr>
          <w:rFonts w:hint="eastAsia" w:ascii="楷体_GB2312" w:hAnsi="Times New Roman" w:eastAsia="楷体_GB2312"/>
          <w:bCs/>
          <w:sz w:val="32"/>
          <w:szCs w:val="32"/>
        </w:rPr>
        <w:t>（一）申报资料</w:t>
      </w:r>
    </w:p>
    <w:p w14:paraId="61358EC5">
      <w:pPr>
        <w:overflowPunct w:val="0"/>
        <w:autoSpaceDE w:val="0"/>
        <w:autoSpaceDN w:val="0"/>
        <w:adjustRightInd w:val="0"/>
        <w:snapToGrid w:val="0"/>
        <w:spacing w:line="570" w:lineRule="exact"/>
        <w:ind w:firstLine="640" w:firstLineChars="200"/>
        <w:rPr>
          <w:rFonts w:ascii="仿宋_GB2312" w:hAnsi="Times New Roman" w:eastAsia="仿宋_GB2312"/>
          <w:sz w:val="32"/>
          <w:szCs w:val="32"/>
        </w:rPr>
      </w:pPr>
      <w:r>
        <w:rPr>
          <w:rFonts w:hint="eastAsia" w:ascii="仿宋_GB2312" w:hAnsi="Times New Roman" w:eastAsia="仿宋_GB2312"/>
          <w:sz w:val="32"/>
          <w:szCs w:val="32"/>
        </w:rPr>
        <w:t>1.</w:t>
      </w:r>
      <w:r>
        <w:rPr>
          <w:rFonts w:hint="eastAsia" w:ascii="仿宋_GB2312" w:hAnsi="仿宋_GB2312" w:eastAsia="仿宋_GB2312"/>
          <w:sz w:val="32"/>
          <w:szCs w:val="32"/>
        </w:rPr>
        <w:t>须提供患者本人近半年医保定点医疗机构的体检资料；</w:t>
      </w:r>
    </w:p>
    <w:p w14:paraId="7FEEACC4">
      <w:pPr>
        <w:overflowPunct w:val="0"/>
        <w:autoSpaceDE w:val="0"/>
        <w:autoSpaceDN w:val="0"/>
        <w:adjustRightInd w:val="0"/>
        <w:snapToGrid w:val="0"/>
        <w:spacing w:line="570" w:lineRule="exact"/>
        <w:ind w:firstLine="640" w:firstLineChars="200"/>
        <w:rPr>
          <w:rFonts w:ascii="仿宋_GB2312" w:hAnsi="Times New Roman" w:eastAsia="仿宋_GB2312"/>
          <w:sz w:val="32"/>
          <w:szCs w:val="32"/>
        </w:rPr>
      </w:pPr>
      <w:r>
        <w:rPr>
          <w:rFonts w:hint="eastAsia" w:ascii="仿宋_GB2312" w:hAnsi="Times New Roman" w:eastAsia="仿宋_GB2312"/>
          <w:sz w:val="32"/>
          <w:szCs w:val="32"/>
        </w:rPr>
        <w:t>2.</w:t>
      </w:r>
      <w:r>
        <w:rPr>
          <w:rFonts w:hint="eastAsia" w:ascii="仿宋_GB2312" w:hAnsi="仿宋_GB2312" w:eastAsia="仿宋_GB2312"/>
          <w:sz w:val="32"/>
          <w:szCs w:val="32"/>
        </w:rPr>
        <w:t>相关的临床资料，包括病史、症状、体征等；</w:t>
      </w:r>
    </w:p>
    <w:p w14:paraId="1C3A4655">
      <w:pPr>
        <w:overflowPunct w:val="0"/>
        <w:autoSpaceDE w:val="0"/>
        <w:autoSpaceDN w:val="0"/>
        <w:adjustRightInd w:val="0"/>
        <w:snapToGrid w:val="0"/>
        <w:spacing w:line="570" w:lineRule="exact"/>
        <w:ind w:firstLine="640" w:firstLineChars="200"/>
        <w:rPr>
          <w:rFonts w:ascii="仿宋_GB2312" w:hAnsi="Times New Roman" w:eastAsia="仿宋_GB2312"/>
          <w:kern w:val="0"/>
          <w:sz w:val="32"/>
          <w:szCs w:val="32"/>
          <w:lang w:bidi="ar"/>
        </w:rPr>
      </w:pPr>
      <w:r>
        <w:rPr>
          <w:rFonts w:hint="eastAsia" w:ascii="仿宋_GB2312" w:hAnsi="Times New Roman" w:eastAsia="仿宋_GB2312"/>
          <w:sz w:val="32"/>
          <w:szCs w:val="32"/>
        </w:rPr>
        <w:t>3.</w:t>
      </w:r>
      <w:r>
        <w:rPr>
          <w:rFonts w:hint="eastAsia" w:ascii="仿宋_GB2312" w:hAnsi="仿宋_GB2312" w:eastAsia="仿宋_GB2312"/>
          <w:sz w:val="32"/>
          <w:szCs w:val="32"/>
        </w:rPr>
        <w:t>相关的辅助检查资料：</w:t>
      </w:r>
      <w:r>
        <w:rPr>
          <w:rFonts w:hint="eastAsia" w:ascii="仿宋_GB2312" w:hAnsi="仿宋_GB2312" w:eastAsia="仿宋_GB2312"/>
          <w:kern w:val="0"/>
          <w:sz w:val="32"/>
          <w:szCs w:val="32"/>
          <w:lang w:eastAsia="zh-Hans" w:bidi="ar"/>
        </w:rPr>
        <w:t>需</w:t>
      </w:r>
      <w:r>
        <w:rPr>
          <w:rFonts w:hint="eastAsia" w:ascii="仿宋_GB2312" w:hAnsi="仿宋_GB2312" w:eastAsia="仿宋_GB2312"/>
          <w:kern w:val="0"/>
          <w:sz w:val="32"/>
          <w:szCs w:val="32"/>
          <w:lang w:bidi="ar"/>
        </w:rPr>
        <w:t>提供住院资料（</w:t>
      </w:r>
      <w:r>
        <w:rPr>
          <w:rFonts w:hint="eastAsia" w:ascii="仿宋_GB2312" w:hAnsi="仿宋_GB2312" w:eastAsia="仿宋_GB2312"/>
          <w:kern w:val="0"/>
          <w:sz w:val="32"/>
          <w:szCs w:val="32"/>
          <w:lang w:eastAsia="zh-Hans" w:bidi="ar"/>
        </w:rPr>
        <w:t>血糖监测记录、糖化血红蛋白结果、</w:t>
      </w:r>
      <w:r>
        <w:rPr>
          <w:rFonts w:hint="eastAsia" w:ascii="仿宋_GB2312" w:hAnsi="仿宋_GB2312" w:eastAsia="仿宋_GB2312"/>
          <w:kern w:val="0"/>
          <w:sz w:val="32"/>
          <w:szCs w:val="32"/>
          <w:lang w:bidi="ar"/>
        </w:rPr>
        <w:t>病例首页及出院记录）</w:t>
      </w:r>
      <w:r>
        <w:rPr>
          <w:rFonts w:hint="eastAsia" w:ascii="仿宋_GB2312" w:hAnsi="仿宋_GB2312" w:eastAsia="仿宋_GB2312"/>
          <w:kern w:val="0"/>
          <w:sz w:val="32"/>
          <w:szCs w:val="32"/>
          <w:lang w:eastAsia="zh-Hans" w:bidi="ar"/>
        </w:rPr>
        <w:t>，或提供</w:t>
      </w:r>
      <w:r>
        <w:rPr>
          <w:rFonts w:hint="eastAsia" w:ascii="仿宋_GB2312" w:hAnsi="Times New Roman" w:eastAsia="仿宋_GB2312"/>
          <w:kern w:val="0"/>
          <w:sz w:val="32"/>
          <w:szCs w:val="32"/>
          <w:lang w:eastAsia="zh-Hans" w:bidi="ar"/>
        </w:rPr>
        <w:t>3</w:t>
      </w:r>
      <w:r>
        <w:rPr>
          <w:rFonts w:hint="eastAsia" w:ascii="仿宋_GB2312" w:hAnsi="仿宋_GB2312" w:eastAsia="仿宋_GB2312"/>
          <w:kern w:val="0"/>
          <w:sz w:val="32"/>
          <w:szCs w:val="32"/>
          <w:lang w:eastAsia="zh-Hans" w:bidi="ar"/>
        </w:rPr>
        <w:t>次以上门诊就诊记录及糖化血红蛋白、胰岛功能结果</w:t>
      </w:r>
      <w:r>
        <w:rPr>
          <w:rFonts w:hint="eastAsia" w:ascii="仿宋_GB2312" w:hAnsi="仿宋_GB2312" w:eastAsia="仿宋_GB2312"/>
          <w:kern w:val="0"/>
          <w:sz w:val="32"/>
          <w:szCs w:val="32"/>
          <w:lang w:bidi="ar"/>
        </w:rPr>
        <w:t>；</w:t>
      </w:r>
    </w:p>
    <w:p w14:paraId="124BE96F">
      <w:pPr>
        <w:overflowPunct w:val="0"/>
        <w:autoSpaceDE w:val="0"/>
        <w:autoSpaceDN w:val="0"/>
        <w:adjustRightInd w:val="0"/>
        <w:snapToGrid w:val="0"/>
        <w:spacing w:line="570" w:lineRule="exact"/>
        <w:ind w:firstLine="640" w:firstLineChars="200"/>
        <w:rPr>
          <w:rFonts w:ascii="仿宋_GB2312" w:hAnsi="Times New Roman" w:eastAsia="仿宋_GB2312"/>
          <w:kern w:val="0"/>
          <w:sz w:val="32"/>
          <w:szCs w:val="32"/>
        </w:rPr>
      </w:pPr>
      <w:r>
        <w:rPr>
          <w:rFonts w:hint="eastAsia" w:ascii="仿宋_GB2312" w:hAnsi="Times New Roman" w:eastAsia="仿宋_GB2312"/>
          <w:sz w:val="32"/>
          <w:szCs w:val="32"/>
        </w:rPr>
        <w:t>4.</w:t>
      </w:r>
      <w:r>
        <w:rPr>
          <w:rFonts w:hint="eastAsia" w:ascii="仿宋_GB2312" w:hAnsi="仿宋_GB2312" w:eastAsia="仿宋_GB2312"/>
          <w:sz w:val="32"/>
          <w:szCs w:val="32"/>
        </w:rPr>
        <w:t>医保定点医疗机构专科主治医师以上（含主治医师）签名的诊疗计划。</w:t>
      </w:r>
    </w:p>
    <w:p w14:paraId="05C821DB">
      <w:pPr>
        <w:overflowPunct w:val="0"/>
        <w:autoSpaceDE w:val="0"/>
        <w:autoSpaceDN w:val="0"/>
        <w:adjustRightInd w:val="0"/>
        <w:snapToGrid w:val="0"/>
        <w:spacing w:line="570" w:lineRule="exact"/>
        <w:ind w:firstLine="630" w:firstLineChars="197"/>
        <w:rPr>
          <w:rFonts w:ascii="楷体_GB2312" w:hAnsi="Times New Roman" w:eastAsia="楷体_GB2312"/>
          <w:bCs/>
          <w:sz w:val="32"/>
          <w:szCs w:val="32"/>
        </w:rPr>
      </w:pPr>
      <w:r>
        <w:rPr>
          <w:rFonts w:hint="eastAsia" w:ascii="楷体_GB2312" w:hAnsi="Times New Roman" w:eastAsia="楷体_GB2312"/>
          <w:bCs/>
          <w:sz w:val="32"/>
          <w:szCs w:val="32"/>
        </w:rPr>
        <w:t>（二）治疗指征（认定标准）</w:t>
      </w:r>
    </w:p>
    <w:p w14:paraId="0B295574">
      <w:pPr>
        <w:overflowPunct w:val="0"/>
        <w:autoSpaceDE w:val="0"/>
        <w:autoSpaceDN w:val="0"/>
        <w:adjustRightInd w:val="0"/>
        <w:snapToGrid w:val="0"/>
        <w:spacing w:line="570" w:lineRule="exact"/>
        <w:rPr>
          <w:rFonts w:ascii="仿宋_GB2312" w:hAnsi="Times New Roman" w:eastAsia="仿宋_GB2312"/>
          <w:b/>
          <w:sz w:val="32"/>
          <w:szCs w:val="32"/>
        </w:rPr>
      </w:pPr>
      <w:r>
        <w:rPr>
          <w:rFonts w:hint="eastAsia" w:ascii="仿宋_GB2312" w:hAnsi="Times New Roman" w:eastAsia="仿宋_GB2312"/>
          <w:sz w:val="32"/>
          <w:szCs w:val="32"/>
        </w:rPr>
        <w:t xml:space="preserve">    1.</w:t>
      </w:r>
      <w:r>
        <w:rPr>
          <w:rFonts w:hint="eastAsia" w:ascii="仿宋_GB2312" w:hAnsi="仿宋_GB2312" w:eastAsia="仿宋_GB2312"/>
          <w:sz w:val="32"/>
          <w:szCs w:val="32"/>
        </w:rPr>
        <w:t>达到国内现行的糖尿病诊断标准；</w:t>
      </w:r>
      <w:r>
        <w:rPr>
          <w:rFonts w:hint="eastAsia" w:ascii="仿宋_GB2312" w:hAnsi="Times New Roman" w:eastAsia="仿宋_GB2312"/>
          <w:sz w:val="32"/>
          <w:szCs w:val="32"/>
        </w:rPr>
        <w:tab/>
      </w:r>
    </w:p>
    <w:p w14:paraId="746D8488">
      <w:pPr>
        <w:overflowPunct w:val="0"/>
        <w:autoSpaceDE w:val="0"/>
        <w:autoSpaceDN w:val="0"/>
        <w:adjustRightInd w:val="0"/>
        <w:snapToGrid w:val="0"/>
        <w:spacing w:line="570" w:lineRule="exact"/>
        <w:ind w:firstLine="640" w:firstLineChars="200"/>
        <w:rPr>
          <w:rFonts w:ascii="仿宋_GB2312" w:hAnsi="Times New Roman" w:eastAsia="仿宋_GB2312"/>
          <w:kern w:val="0"/>
          <w:sz w:val="32"/>
          <w:szCs w:val="32"/>
        </w:rPr>
      </w:pPr>
      <w:r>
        <w:rPr>
          <w:rFonts w:hint="eastAsia" w:ascii="仿宋_GB2312" w:hAnsi="Times New Roman" w:eastAsia="仿宋_GB2312"/>
          <w:sz w:val="32"/>
          <w:szCs w:val="32"/>
        </w:rPr>
        <w:t>2.</w:t>
      </w:r>
      <w:r>
        <w:rPr>
          <w:rFonts w:hint="eastAsia" w:ascii="仿宋_GB2312" w:hAnsi="仿宋_GB2312" w:eastAsia="仿宋_GB2312"/>
          <w:sz w:val="32"/>
          <w:szCs w:val="32"/>
        </w:rPr>
        <w:t>至少合并下列一项慢性并发症：（</w:t>
      </w:r>
      <w:r>
        <w:rPr>
          <w:rFonts w:hint="eastAsia" w:ascii="仿宋_GB2312" w:hAnsi="Times New Roman" w:eastAsia="仿宋_GB2312"/>
          <w:sz w:val="32"/>
          <w:szCs w:val="32"/>
        </w:rPr>
        <w:t>1</w:t>
      </w:r>
      <w:r>
        <w:rPr>
          <w:rFonts w:hint="eastAsia" w:ascii="仿宋_GB2312" w:hAnsi="仿宋_GB2312" w:eastAsia="仿宋_GB2312"/>
          <w:sz w:val="32"/>
          <w:szCs w:val="32"/>
        </w:rPr>
        <w:t>）糖尿病心血管病变：高血压、心衰（心功能不全）、冠心病的临床检查证据（</w:t>
      </w:r>
      <w:r>
        <w:rPr>
          <w:rFonts w:hint="eastAsia" w:ascii="仿宋_GB2312" w:hAnsi="Times New Roman" w:eastAsia="仿宋_GB2312"/>
          <w:sz w:val="32"/>
          <w:szCs w:val="32"/>
        </w:rPr>
        <w:t>2</w:t>
      </w:r>
      <w:r>
        <w:rPr>
          <w:rFonts w:hint="eastAsia" w:ascii="仿宋_GB2312" w:hAnsi="仿宋_GB2312" w:eastAsia="仿宋_GB2312"/>
          <w:sz w:val="32"/>
          <w:szCs w:val="32"/>
        </w:rPr>
        <w:t>）脑血管病变：有脑卒中临床诊断及头</w:t>
      </w:r>
      <w:r>
        <w:rPr>
          <w:rFonts w:hint="eastAsia" w:ascii="仿宋_GB2312" w:hAnsi="Times New Roman" w:eastAsia="仿宋_GB2312"/>
          <w:sz w:val="32"/>
          <w:szCs w:val="32"/>
        </w:rPr>
        <w:t>CT</w:t>
      </w:r>
      <w:r>
        <w:rPr>
          <w:rFonts w:hint="eastAsia" w:ascii="仿宋_GB2312" w:hAnsi="仿宋_GB2312" w:eastAsia="仿宋_GB2312"/>
          <w:sz w:val="32"/>
          <w:szCs w:val="32"/>
        </w:rPr>
        <w:t>或脑核磁显示</w:t>
      </w:r>
      <w:r>
        <w:rPr>
          <w:rFonts w:hint="eastAsia" w:ascii="仿宋_GB2312" w:hAnsi="仿宋_GB2312" w:eastAsia="仿宋_GB2312"/>
          <w:kern w:val="0"/>
          <w:sz w:val="32"/>
          <w:szCs w:val="32"/>
          <w:lang w:bidi="ar"/>
        </w:rPr>
        <w:t>脑血管病变</w:t>
      </w:r>
      <w:r>
        <w:rPr>
          <w:rFonts w:hint="eastAsia" w:ascii="仿宋_GB2312" w:hAnsi="仿宋_GB2312" w:eastAsia="仿宋_GB2312"/>
          <w:sz w:val="32"/>
          <w:szCs w:val="32"/>
        </w:rPr>
        <w:t>（</w:t>
      </w:r>
      <w:r>
        <w:rPr>
          <w:rFonts w:hint="eastAsia" w:ascii="仿宋_GB2312" w:hAnsi="Times New Roman" w:eastAsia="仿宋_GB2312"/>
          <w:sz w:val="32"/>
          <w:szCs w:val="32"/>
        </w:rPr>
        <w:t>3</w:t>
      </w:r>
      <w:r>
        <w:rPr>
          <w:rFonts w:hint="eastAsia" w:ascii="仿宋_GB2312" w:hAnsi="仿宋_GB2312" w:eastAsia="仿宋_GB2312"/>
          <w:sz w:val="32"/>
          <w:szCs w:val="32"/>
        </w:rPr>
        <w:t>）糖尿病肾病：随机尿</w:t>
      </w:r>
      <w:r>
        <w:rPr>
          <w:rFonts w:hint="eastAsia" w:ascii="仿宋_GB2312" w:hAnsi="Times New Roman" w:eastAsia="仿宋_GB2312"/>
          <w:sz w:val="32"/>
          <w:szCs w:val="32"/>
        </w:rPr>
        <w:t>UACR</w:t>
      </w:r>
      <w:r>
        <w:rPr>
          <w:rFonts w:hint="eastAsia" w:ascii="仿宋_GB2312" w:hAnsi="Times New Roman" w:eastAsia="仿宋_GB2312"/>
          <w:sz w:val="32"/>
          <w:szCs w:val="32"/>
          <w:lang w:eastAsia="zh-Hans"/>
        </w:rPr>
        <w:t>≥</w:t>
      </w:r>
      <w:r>
        <w:rPr>
          <w:rFonts w:hint="eastAsia" w:ascii="仿宋_GB2312" w:hAnsi="Times New Roman" w:eastAsia="仿宋_GB2312"/>
          <w:sz w:val="32"/>
          <w:szCs w:val="32"/>
        </w:rPr>
        <w:t>30 mg/g</w:t>
      </w:r>
      <w:r>
        <w:rPr>
          <w:rFonts w:hint="eastAsia" w:ascii="仿宋_GB2312" w:hAnsi="仿宋_GB2312" w:eastAsia="仿宋_GB2312"/>
          <w:sz w:val="32"/>
          <w:szCs w:val="32"/>
          <w:lang w:eastAsia="zh-Hans"/>
        </w:rPr>
        <w:t>或</w:t>
      </w:r>
      <w:r>
        <w:rPr>
          <w:rFonts w:hint="eastAsia" w:ascii="仿宋_GB2312" w:hAnsi="Times New Roman" w:eastAsia="仿宋_GB2312"/>
          <w:sz w:val="32"/>
          <w:szCs w:val="32"/>
          <w:lang w:eastAsia="zh-Hans"/>
        </w:rPr>
        <w:t>UAER≥</w:t>
      </w:r>
      <w:r>
        <w:rPr>
          <w:rFonts w:hint="eastAsia" w:ascii="仿宋_GB2312" w:hAnsi="Times New Roman" w:eastAsia="仿宋_GB2312"/>
          <w:sz w:val="32"/>
          <w:szCs w:val="32"/>
        </w:rPr>
        <w:t>30ug/min</w:t>
      </w:r>
      <w:r>
        <w:rPr>
          <w:rFonts w:hint="eastAsia" w:ascii="仿宋_GB2312" w:hAnsi="仿宋_GB2312" w:eastAsia="仿宋_GB2312"/>
          <w:sz w:val="32"/>
          <w:szCs w:val="32"/>
        </w:rPr>
        <w:t>，</w:t>
      </w:r>
      <w:r>
        <w:rPr>
          <w:rFonts w:hint="eastAsia" w:ascii="仿宋_GB2312" w:hAnsi="仿宋_GB2312" w:eastAsia="仿宋_GB2312"/>
          <w:sz w:val="32"/>
          <w:szCs w:val="32"/>
          <w:lang w:eastAsia="zh-Hans"/>
        </w:rPr>
        <w:t>或</w:t>
      </w:r>
      <w:r>
        <w:rPr>
          <w:rFonts w:hint="eastAsia" w:ascii="仿宋_GB2312" w:hAnsi="Times New Roman" w:eastAsia="仿宋_GB2312"/>
          <w:sz w:val="32"/>
          <w:szCs w:val="32"/>
        </w:rPr>
        <w:t>eGFR&lt;60 mL·min</w:t>
      </w:r>
      <w:r>
        <w:rPr>
          <w:rFonts w:hint="eastAsia" w:ascii="仿宋_GB2312" w:hAnsi="Times New Roman" w:eastAsia="仿宋_GB2312"/>
          <w:sz w:val="32"/>
          <w:szCs w:val="32"/>
          <w:vertAlign w:val="superscript"/>
        </w:rPr>
        <w:t>-1</w:t>
      </w:r>
      <w:r>
        <w:rPr>
          <w:rFonts w:hint="eastAsia" w:ascii="仿宋_GB2312" w:hAnsi="Times New Roman" w:eastAsia="仿宋_GB2312"/>
          <w:sz w:val="32"/>
          <w:szCs w:val="32"/>
        </w:rPr>
        <w:t>·</w:t>
      </w:r>
      <w:r>
        <w:rPr>
          <w:rFonts w:hint="eastAsia" w:ascii="仿宋_GB2312" w:hAnsi="仿宋_GB2312" w:eastAsia="仿宋_GB2312"/>
          <w:sz w:val="32"/>
          <w:szCs w:val="32"/>
        </w:rPr>
        <w:t>（</w:t>
      </w:r>
      <w:r>
        <w:rPr>
          <w:rFonts w:hint="eastAsia" w:ascii="仿宋_GB2312" w:hAnsi="Times New Roman" w:eastAsia="仿宋_GB2312"/>
          <w:sz w:val="32"/>
          <w:szCs w:val="32"/>
        </w:rPr>
        <w:t>1.73m</w:t>
      </w:r>
      <w:r>
        <w:rPr>
          <w:rFonts w:hint="eastAsia" w:ascii="宋体" w:hAnsi="宋体" w:cs="宋体"/>
          <w:sz w:val="32"/>
          <w:szCs w:val="32"/>
        </w:rPr>
        <w:t>²</w:t>
      </w:r>
      <w:r>
        <w:rPr>
          <w:rFonts w:hint="eastAsia" w:ascii="仿宋_GB2312" w:hAnsi="仿宋_GB2312" w:eastAsia="仿宋_GB2312"/>
          <w:sz w:val="32"/>
          <w:szCs w:val="32"/>
        </w:rPr>
        <w:t>）</w:t>
      </w:r>
      <w:r>
        <w:rPr>
          <w:rFonts w:hint="eastAsia" w:ascii="仿宋_GB2312" w:hAnsi="仿宋_GB2312" w:eastAsia="仿宋_GB2312"/>
          <w:sz w:val="32"/>
          <w:szCs w:val="32"/>
          <w:lang w:eastAsia="zh-Hans"/>
        </w:rPr>
        <w:t>，</w:t>
      </w:r>
      <w:r>
        <w:rPr>
          <w:rFonts w:hint="eastAsia" w:ascii="仿宋_GB2312" w:hAnsi="仿宋_GB2312" w:eastAsia="仿宋_GB2312"/>
          <w:sz w:val="32"/>
          <w:szCs w:val="32"/>
        </w:rPr>
        <w:t>在</w:t>
      </w:r>
      <w:r>
        <w:rPr>
          <w:rFonts w:hint="eastAsia" w:ascii="仿宋_GB2312" w:hAnsi="Times New Roman" w:eastAsia="仿宋_GB2312"/>
          <w:sz w:val="32"/>
          <w:szCs w:val="32"/>
        </w:rPr>
        <w:t>3-6</w:t>
      </w:r>
      <w:r>
        <w:rPr>
          <w:rFonts w:hint="eastAsia" w:ascii="仿宋_GB2312" w:hAnsi="仿宋_GB2312" w:eastAsia="仿宋_GB2312"/>
          <w:sz w:val="32"/>
          <w:szCs w:val="32"/>
        </w:rPr>
        <w:t>个月内重复检查</w:t>
      </w:r>
      <w:r>
        <w:rPr>
          <w:rFonts w:hint="eastAsia" w:ascii="仿宋_GB2312" w:hAnsi="仿宋_GB2312" w:eastAsia="仿宋_GB2312"/>
          <w:sz w:val="32"/>
          <w:szCs w:val="32"/>
          <w:lang w:eastAsia="zh-Hans"/>
        </w:rPr>
        <w:t>，</w:t>
      </w:r>
      <w:r>
        <w:rPr>
          <w:rFonts w:hint="eastAsia" w:ascii="仿宋_GB2312" w:hAnsi="仿宋_GB2312" w:eastAsia="仿宋_GB2312"/>
          <w:sz w:val="32"/>
          <w:szCs w:val="32"/>
        </w:rPr>
        <w:t>有</w:t>
      </w:r>
      <w:r>
        <w:rPr>
          <w:rFonts w:hint="eastAsia" w:ascii="仿宋_GB2312" w:hAnsi="Times New Roman" w:eastAsia="仿宋_GB2312"/>
          <w:sz w:val="32"/>
          <w:szCs w:val="32"/>
        </w:rPr>
        <w:t>2</w:t>
      </w:r>
      <w:r>
        <w:rPr>
          <w:rFonts w:hint="eastAsia" w:ascii="仿宋_GB2312" w:hAnsi="仿宋_GB2312" w:eastAsia="仿宋_GB2312"/>
          <w:sz w:val="32"/>
          <w:szCs w:val="32"/>
        </w:rPr>
        <w:t>次异常（</w:t>
      </w:r>
      <w:r>
        <w:rPr>
          <w:rFonts w:hint="eastAsia" w:ascii="仿宋_GB2312" w:hAnsi="Times New Roman" w:eastAsia="仿宋_GB2312"/>
          <w:sz w:val="32"/>
          <w:szCs w:val="32"/>
        </w:rPr>
        <w:t>4</w:t>
      </w:r>
      <w:r>
        <w:rPr>
          <w:rFonts w:hint="eastAsia" w:ascii="仿宋_GB2312" w:hAnsi="仿宋_GB2312" w:eastAsia="仿宋_GB2312"/>
          <w:sz w:val="32"/>
          <w:szCs w:val="32"/>
        </w:rPr>
        <w:t>）糖尿病视网膜病变：眼底检查诊断糖尿病视网膜病变，或检查有明显糖尿病黄斑水肿（</w:t>
      </w:r>
      <w:r>
        <w:rPr>
          <w:rFonts w:hint="eastAsia" w:ascii="仿宋_GB2312" w:hAnsi="Times New Roman" w:eastAsia="仿宋_GB2312"/>
          <w:sz w:val="32"/>
          <w:szCs w:val="32"/>
        </w:rPr>
        <w:t>5</w:t>
      </w:r>
      <w:r>
        <w:rPr>
          <w:rFonts w:hint="eastAsia" w:ascii="仿宋_GB2312" w:hAnsi="仿宋_GB2312" w:eastAsia="仿宋_GB2312"/>
          <w:sz w:val="32"/>
          <w:szCs w:val="32"/>
        </w:rPr>
        <w:t>）糖尿病神经病变：有客观检查的异常如：神经肌电图、感觉神经定量、体感诱发电位（</w:t>
      </w:r>
      <w:r>
        <w:rPr>
          <w:rFonts w:hint="eastAsia" w:ascii="仿宋_GB2312" w:hAnsi="Times New Roman" w:eastAsia="仿宋_GB2312"/>
          <w:sz w:val="32"/>
          <w:szCs w:val="32"/>
        </w:rPr>
        <w:t>6</w:t>
      </w:r>
      <w:r>
        <w:rPr>
          <w:rFonts w:hint="eastAsia" w:ascii="仿宋_GB2312" w:hAnsi="仿宋_GB2312" w:eastAsia="仿宋_GB2312"/>
          <w:sz w:val="32"/>
          <w:szCs w:val="32"/>
        </w:rPr>
        <w:t>）糖尿病足病：膝以下溃疡伴周围神经病变或下肢血管病变</w:t>
      </w:r>
      <w:r>
        <w:rPr>
          <w:rFonts w:hint="eastAsia" w:ascii="仿宋_GB2312" w:hAnsi="Times New Roman" w:eastAsia="仿宋_GB2312"/>
          <w:sz w:val="32"/>
          <w:szCs w:val="32"/>
        </w:rPr>
        <w:t xml:space="preserve"> ABI&lt;0.9</w:t>
      </w:r>
      <w:r>
        <w:rPr>
          <w:rFonts w:hint="eastAsia" w:ascii="仿宋_GB2312" w:hAnsi="仿宋_GB2312" w:eastAsia="仿宋_GB2312"/>
          <w:sz w:val="32"/>
          <w:szCs w:val="32"/>
        </w:rPr>
        <w:t>（</w:t>
      </w:r>
      <w:r>
        <w:rPr>
          <w:rFonts w:hint="eastAsia" w:ascii="仿宋_GB2312" w:hAnsi="Times New Roman" w:eastAsia="仿宋_GB2312"/>
          <w:sz w:val="32"/>
          <w:szCs w:val="32"/>
        </w:rPr>
        <w:t>7</w:t>
      </w:r>
      <w:r>
        <w:rPr>
          <w:rFonts w:hint="eastAsia" w:ascii="仿宋_GB2312" w:hAnsi="仿宋_GB2312" w:eastAsia="仿宋_GB2312"/>
          <w:sz w:val="32"/>
          <w:szCs w:val="32"/>
        </w:rPr>
        <w:t>）其中视网膜病变</w:t>
      </w:r>
      <w:r>
        <w:rPr>
          <w:rFonts w:hint="eastAsia" w:ascii="仿宋_GB2312" w:hAnsi="Times New Roman" w:eastAsia="仿宋_GB2312"/>
          <w:sz w:val="32"/>
          <w:szCs w:val="32"/>
        </w:rPr>
        <w:t>II</w:t>
      </w:r>
      <w:r>
        <w:rPr>
          <w:rFonts w:hint="eastAsia" w:ascii="仿宋_GB2312" w:hAnsi="仿宋_GB2312" w:eastAsia="仿宋_GB2312"/>
          <w:sz w:val="32"/>
          <w:szCs w:val="32"/>
        </w:rPr>
        <w:t>期及以上和感觉神经检查振动阈值</w:t>
      </w:r>
      <w:r>
        <w:rPr>
          <w:rFonts w:hint="eastAsia" w:ascii="仿宋_GB2312" w:hAnsi="Times New Roman" w:eastAsia="仿宋_GB2312"/>
          <w:sz w:val="32"/>
          <w:szCs w:val="32"/>
        </w:rPr>
        <w:t>18</w:t>
      </w:r>
      <w:r>
        <w:rPr>
          <w:rFonts w:hint="eastAsia" w:ascii="仿宋_GB2312" w:hAnsi="仿宋_GB2312" w:eastAsia="仿宋_GB2312"/>
          <w:sz w:val="32"/>
          <w:szCs w:val="32"/>
        </w:rPr>
        <w:t>伏以上）</w:t>
      </w:r>
      <w:r>
        <w:rPr>
          <w:rFonts w:hint="eastAsia" w:ascii="仿宋_GB2312" w:hAnsi="Times New Roman" w:eastAsia="仿宋_GB2312"/>
          <w:sz w:val="32"/>
          <w:szCs w:val="32"/>
        </w:rPr>
        <w:t>;</w:t>
      </w:r>
      <w:r>
        <w:rPr>
          <w:rFonts w:hint="eastAsia" w:ascii="仿宋_GB2312" w:hAnsi="仿宋_GB2312" w:eastAsia="仿宋_GB2312"/>
          <w:sz w:val="32"/>
          <w:szCs w:val="32"/>
        </w:rPr>
        <w:t>或有如下之一者：糖尿病视网膜病变</w:t>
      </w:r>
      <w:r>
        <w:rPr>
          <w:rFonts w:hint="eastAsia" w:ascii="仿宋_GB2312" w:hAnsi="Times New Roman" w:eastAsia="仿宋_GB2312"/>
          <w:sz w:val="32"/>
          <w:szCs w:val="32"/>
        </w:rPr>
        <w:t>III</w:t>
      </w:r>
      <w:r>
        <w:rPr>
          <w:rFonts w:hint="eastAsia" w:ascii="仿宋_GB2312" w:hAnsi="仿宋_GB2312" w:eastAsia="仿宋_GB2312"/>
          <w:sz w:val="32"/>
          <w:szCs w:val="32"/>
        </w:rPr>
        <w:t>期及以上；糖尿病肾病</w:t>
      </w:r>
      <w:r>
        <w:rPr>
          <w:rFonts w:hint="eastAsia" w:ascii="仿宋_GB2312" w:hAnsi="Times New Roman" w:eastAsia="仿宋_GB2312"/>
          <w:sz w:val="32"/>
          <w:szCs w:val="32"/>
        </w:rPr>
        <w:t>IV</w:t>
      </w:r>
      <w:r>
        <w:rPr>
          <w:rFonts w:hint="eastAsia" w:ascii="仿宋_GB2312" w:hAnsi="仿宋_GB2312" w:eastAsia="仿宋_GB2312"/>
          <w:sz w:val="32"/>
          <w:szCs w:val="32"/>
        </w:rPr>
        <w:t>期</w:t>
      </w:r>
      <w:r>
        <w:rPr>
          <w:rFonts w:hint="eastAsia" w:ascii="仿宋_GB2312" w:hAnsi="仿宋_GB2312" w:eastAsia="仿宋_GB2312"/>
          <w:sz w:val="32"/>
          <w:szCs w:val="32"/>
          <w:lang w:val="en"/>
        </w:rPr>
        <w:t>（</w:t>
      </w:r>
      <w:r>
        <w:rPr>
          <w:rFonts w:hint="eastAsia" w:ascii="仿宋_GB2312" w:hAnsi="Times New Roman" w:eastAsia="仿宋_GB2312"/>
          <w:sz w:val="32"/>
          <w:szCs w:val="32"/>
          <w:lang w:val="en"/>
        </w:rPr>
        <w:t>24</w:t>
      </w:r>
      <w:r>
        <w:rPr>
          <w:rFonts w:hint="eastAsia" w:ascii="仿宋_GB2312" w:hAnsi="仿宋_GB2312" w:eastAsia="仿宋_GB2312"/>
          <w:sz w:val="32"/>
          <w:szCs w:val="32"/>
          <w:lang w:val="en"/>
        </w:rPr>
        <w:t>小时尿蛋白定量</w:t>
      </w:r>
      <w:r>
        <w:rPr>
          <w:rFonts w:hint="eastAsia" w:ascii="仿宋_GB2312" w:hAnsi="Times New Roman" w:eastAsia="仿宋_GB2312"/>
          <w:sz w:val="32"/>
          <w:szCs w:val="32"/>
          <w:lang w:val="en"/>
        </w:rPr>
        <w:t>&gt;</w:t>
      </w:r>
      <w:r>
        <w:rPr>
          <w:rFonts w:hint="eastAsia" w:ascii="仿宋_GB2312" w:hAnsi="Times New Roman" w:eastAsia="仿宋_GB2312"/>
          <w:sz w:val="32"/>
          <w:szCs w:val="32"/>
        </w:rPr>
        <w:t>0.5</w:t>
      </w:r>
      <w:r>
        <w:rPr>
          <w:rFonts w:hint="eastAsia" w:ascii="仿宋_GB2312" w:hAnsi="Times New Roman" w:eastAsia="仿宋_GB2312"/>
          <w:sz w:val="32"/>
          <w:szCs w:val="32"/>
          <w:lang w:val="en"/>
        </w:rPr>
        <w:t>g/24</w:t>
      </w:r>
      <w:r>
        <w:rPr>
          <w:rFonts w:hint="eastAsia" w:ascii="仿宋_GB2312" w:hAnsi="仿宋_GB2312" w:eastAsia="仿宋_GB2312"/>
          <w:sz w:val="32"/>
          <w:szCs w:val="32"/>
          <w:lang w:val="en"/>
        </w:rPr>
        <w:t>小时）</w:t>
      </w:r>
      <w:r>
        <w:rPr>
          <w:rFonts w:hint="eastAsia" w:ascii="仿宋_GB2312" w:hAnsi="仿宋_GB2312" w:eastAsia="仿宋_GB2312"/>
          <w:sz w:val="32"/>
          <w:szCs w:val="32"/>
        </w:rPr>
        <w:t>及以上伴</w:t>
      </w:r>
      <w:r>
        <w:rPr>
          <w:rFonts w:hint="eastAsia" w:ascii="仿宋_GB2312" w:hAnsi="Times New Roman" w:eastAsia="仿宋_GB2312"/>
          <w:sz w:val="32"/>
          <w:szCs w:val="32"/>
        </w:rPr>
        <w:t>eGFR&lt;60 mL·min-1·</w:t>
      </w:r>
      <w:r>
        <w:rPr>
          <w:rFonts w:hint="eastAsia" w:ascii="仿宋_GB2312" w:hAnsi="仿宋_GB2312" w:eastAsia="仿宋_GB2312"/>
          <w:sz w:val="32"/>
          <w:szCs w:val="32"/>
        </w:rPr>
        <w:t>（</w:t>
      </w:r>
      <w:r>
        <w:rPr>
          <w:rFonts w:hint="eastAsia" w:ascii="仿宋_GB2312" w:hAnsi="Times New Roman" w:eastAsia="仿宋_GB2312"/>
          <w:sz w:val="32"/>
          <w:szCs w:val="32"/>
        </w:rPr>
        <w:t>1.73m</w:t>
      </w:r>
      <w:r>
        <w:rPr>
          <w:rFonts w:hint="eastAsia" w:ascii="宋体" w:hAnsi="宋体" w:cs="宋体"/>
          <w:sz w:val="32"/>
          <w:szCs w:val="32"/>
        </w:rPr>
        <w:t>²</w:t>
      </w:r>
      <w:r>
        <w:rPr>
          <w:rFonts w:hint="eastAsia" w:ascii="仿宋_GB2312" w:hAnsi="仿宋_GB2312" w:eastAsia="仿宋_GB2312"/>
          <w:sz w:val="32"/>
          <w:szCs w:val="32"/>
        </w:rPr>
        <w:t>）。</w:t>
      </w:r>
    </w:p>
    <w:p w14:paraId="0FFEFA57">
      <w:pPr>
        <w:overflowPunct w:val="0"/>
        <w:autoSpaceDE w:val="0"/>
        <w:autoSpaceDN w:val="0"/>
        <w:adjustRightInd w:val="0"/>
        <w:snapToGrid w:val="0"/>
        <w:spacing w:line="570" w:lineRule="exact"/>
        <w:ind w:firstLine="630" w:firstLineChars="197"/>
        <w:rPr>
          <w:rFonts w:ascii="楷体_GB2312" w:hAnsi="Times New Roman" w:eastAsia="楷体_GB2312"/>
          <w:bCs/>
          <w:sz w:val="32"/>
          <w:szCs w:val="32"/>
        </w:rPr>
      </w:pPr>
      <w:r>
        <w:rPr>
          <w:rFonts w:hint="eastAsia" w:ascii="楷体_GB2312" w:hAnsi="Times New Roman" w:eastAsia="楷体_GB2312"/>
          <w:bCs/>
          <w:sz w:val="32"/>
          <w:szCs w:val="32"/>
        </w:rPr>
        <w:t>（三）门诊诊疗范围</w:t>
      </w:r>
    </w:p>
    <w:p w14:paraId="13D8E45E">
      <w:pPr>
        <w:overflowPunct w:val="0"/>
        <w:autoSpaceDE w:val="0"/>
        <w:autoSpaceDN w:val="0"/>
        <w:adjustRightInd w:val="0"/>
        <w:snapToGrid w:val="0"/>
        <w:spacing w:line="570" w:lineRule="exact"/>
        <w:rPr>
          <w:rFonts w:ascii="仿宋_GB2312" w:hAnsi="Times New Roman" w:eastAsia="仿宋_GB2312"/>
          <w:sz w:val="32"/>
          <w:szCs w:val="32"/>
        </w:rPr>
      </w:pPr>
      <w:r>
        <w:rPr>
          <w:rFonts w:hint="eastAsia" w:ascii="仿宋_GB2312" w:hAnsi="Times New Roman" w:eastAsia="仿宋_GB2312"/>
          <w:bCs/>
          <w:sz w:val="32"/>
          <w:szCs w:val="32"/>
        </w:rPr>
        <w:t xml:space="preserve">    1.</w:t>
      </w:r>
      <w:r>
        <w:rPr>
          <w:rFonts w:hint="eastAsia" w:ascii="仿宋_GB2312" w:hAnsi="仿宋_GB2312" w:eastAsia="仿宋_GB2312"/>
          <w:sz w:val="32"/>
          <w:szCs w:val="32"/>
        </w:rPr>
        <w:t>胰岛素胰岛素类似物、</w:t>
      </w:r>
      <w:r>
        <w:rPr>
          <w:rFonts w:hint="eastAsia" w:ascii="仿宋_GB2312" w:hAnsi="Times New Roman" w:eastAsia="仿宋_GB2312"/>
          <w:sz w:val="32"/>
          <w:szCs w:val="32"/>
        </w:rPr>
        <w:t>GLP-1</w:t>
      </w:r>
      <w:r>
        <w:rPr>
          <w:rFonts w:hint="eastAsia" w:ascii="仿宋_GB2312" w:hAnsi="仿宋_GB2312" w:eastAsia="仿宋_GB2312"/>
          <w:sz w:val="32"/>
          <w:szCs w:val="32"/>
        </w:rPr>
        <w:t>受体激动剂和口服降糖药；</w:t>
      </w:r>
    </w:p>
    <w:p w14:paraId="2FD2B6A0">
      <w:pPr>
        <w:overflowPunct w:val="0"/>
        <w:autoSpaceDE w:val="0"/>
        <w:autoSpaceDN w:val="0"/>
        <w:adjustRightInd w:val="0"/>
        <w:snapToGrid w:val="0"/>
        <w:spacing w:line="570" w:lineRule="exact"/>
        <w:rPr>
          <w:rFonts w:ascii="仿宋_GB2312" w:hAnsi="Times New Roman" w:eastAsia="仿宋_GB2312"/>
          <w:sz w:val="32"/>
          <w:szCs w:val="32"/>
        </w:rPr>
      </w:pPr>
      <w:r>
        <w:rPr>
          <w:rFonts w:hint="eastAsia" w:ascii="仿宋_GB2312" w:hAnsi="Times New Roman" w:eastAsia="仿宋_GB2312"/>
          <w:sz w:val="32"/>
          <w:szCs w:val="32"/>
        </w:rPr>
        <w:t xml:space="preserve">    2.</w:t>
      </w:r>
      <w:r>
        <w:rPr>
          <w:rFonts w:hint="eastAsia" w:ascii="仿宋_GB2312" w:hAnsi="仿宋_GB2312" w:eastAsia="仿宋_GB2312"/>
          <w:sz w:val="32"/>
          <w:szCs w:val="32"/>
        </w:rPr>
        <w:t>糖尿病并发症的相关治疗；</w:t>
      </w:r>
    </w:p>
    <w:p w14:paraId="69A4C0DA">
      <w:pPr>
        <w:overflowPunct w:val="0"/>
        <w:autoSpaceDE w:val="0"/>
        <w:autoSpaceDN w:val="0"/>
        <w:adjustRightInd w:val="0"/>
        <w:snapToGrid w:val="0"/>
        <w:spacing w:line="570" w:lineRule="exact"/>
        <w:rPr>
          <w:rFonts w:ascii="仿宋_GB2312" w:hAnsi="Times New Roman" w:eastAsia="仿宋_GB2312"/>
          <w:kern w:val="0"/>
          <w:sz w:val="32"/>
          <w:szCs w:val="32"/>
        </w:rPr>
      </w:pPr>
      <w:r>
        <w:rPr>
          <w:rFonts w:hint="eastAsia" w:ascii="仿宋_GB2312" w:hAnsi="Times New Roman" w:eastAsia="仿宋_GB2312"/>
          <w:sz w:val="32"/>
          <w:szCs w:val="32"/>
        </w:rPr>
        <w:t xml:space="preserve">    3.</w:t>
      </w:r>
      <w:r>
        <w:rPr>
          <w:rFonts w:hint="eastAsia" w:ascii="仿宋_GB2312" w:hAnsi="仿宋_GB2312" w:eastAsia="仿宋_GB2312"/>
          <w:sz w:val="32"/>
          <w:szCs w:val="32"/>
        </w:rPr>
        <w:t>治疗期间的相关检查</w:t>
      </w:r>
      <w:r>
        <w:rPr>
          <w:rFonts w:hint="eastAsia" w:ascii="仿宋_GB2312" w:hAnsi="仿宋_GB2312" w:eastAsia="仿宋_GB2312"/>
          <w:kern w:val="0"/>
          <w:sz w:val="32"/>
          <w:szCs w:val="32"/>
          <w:lang w:eastAsia="zh-Hans" w:bidi="ar"/>
        </w:rPr>
        <w:t>（血糖监测、糖化血红蛋白、</w:t>
      </w:r>
      <w:r>
        <w:rPr>
          <w:rFonts w:hint="eastAsia" w:ascii="仿宋_GB2312" w:hAnsi="仿宋_GB2312" w:eastAsia="仿宋_GB2312"/>
          <w:kern w:val="0"/>
          <w:sz w:val="32"/>
          <w:szCs w:val="32"/>
          <w:lang w:bidi="ar"/>
        </w:rPr>
        <w:t>血脂、肾功能、尿常规、尿</w:t>
      </w:r>
      <w:r>
        <w:rPr>
          <w:rFonts w:hint="eastAsia" w:ascii="仿宋_GB2312" w:hAnsi="Times New Roman" w:eastAsia="仿宋_GB2312"/>
          <w:kern w:val="0"/>
          <w:sz w:val="32"/>
          <w:szCs w:val="32"/>
          <w:lang w:bidi="ar"/>
        </w:rPr>
        <w:t xml:space="preserve"> UACR</w:t>
      </w:r>
      <w:r>
        <w:rPr>
          <w:rFonts w:hint="eastAsia" w:ascii="仿宋_GB2312" w:hAnsi="仿宋_GB2312" w:eastAsia="仿宋_GB2312"/>
          <w:kern w:val="0"/>
          <w:sz w:val="32"/>
          <w:szCs w:val="32"/>
          <w:lang w:eastAsia="zh-Hans" w:bidi="ar"/>
        </w:rPr>
        <w:t>、</w:t>
      </w:r>
      <w:r>
        <w:rPr>
          <w:rFonts w:hint="eastAsia" w:ascii="仿宋_GB2312" w:hAnsi="Times New Roman" w:eastAsia="仿宋_GB2312"/>
          <w:kern w:val="0"/>
          <w:sz w:val="32"/>
          <w:szCs w:val="32"/>
          <w:lang w:eastAsia="zh-Hans" w:bidi="ar"/>
        </w:rPr>
        <w:t>UAER</w:t>
      </w:r>
      <w:r>
        <w:rPr>
          <w:rFonts w:hint="eastAsia" w:ascii="仿宋_GB2312" w:hAnsi="仿宋_GB2312" w:eastAsia="仿宋_GB2312"/>
          <w:kern w:val="0"/>
          <w:sz w:val="32"/>
          <w:szCs w:val="32"/>
          <w:lang w:eastAsia="zh-Hans" w:bidi="ar"/>
        </w:rPr>
        <w:t>、</w:t>
      </w:r>
      <w:r>
        <w:rPr>
          <w:rFonts w:hint="eastAsia" w:ascii="仿宋_GB2312" w:hAnsi="Times New Roman" w:eastAsia="仿宋_GB2312"/>
          <w:kern w:val="0"/>
          <w:sz w:val="32"/>
          <w:szCs w:val="32"/>
          <w:lang w:eastAsia="zh-Hans" w:bidi="ar"/>
        </w:rPr>
        <w:t>ALB</w:t>
      </w:r>
      <w:r>
        <w:rPr>
          <w:rFonts w:hint="eastAsia" w:ascii="仿宋_GB2312" w:hAnsi="仿宋_GB2312" w:eastAsia="仿宋_GB2312"/>
          <w:kern w:val="0"/>
          <w:sz w:val="32"/>
          <w:szCs w:val="32"/>
          <w:lang w:eastAsia="zh-Hans" w:bidi="ar"/>
        </w:rPr>
        <w:t>、</w:t>
      </w:r>
      <w:r>
        <w:rPr>
          <w:rFonts w:hint="eastAsia" w:ascii="仿宋_GB2312" w:hAnsi="Times New Roman" w:eastAsia="仿宋_GB2312"/>
          <w:kern w:val="0"/>
          <w:sz w:val="32"/>
          <w:szCs w:val="32"/>
          <w:lang w:eastAsia="zh-Hans" w:bidi="ar"/>
        </w:rPr>
        <w:t>eGFR</w:t>
      </w:r>
      <w:r>
        <w:rPr>
          <w:rFonts w:hint="eastAsia" w:ascii="仿宋_GB2312" w:hAnsi="仿宋_GB2312" w:eastAsia="仿宋_GB2312"/>
          <w:kern w:val="0"/>
          <w:sz w:val="32"/>
          <w:szCs w:val="32"/>
          <w:lang w:eastAsia="zh-Hans" w:bidi="ar"/>
        </w:rPr>
        <w:t>、眼底检查、胰岛功能、周围神经病变检查、周围血管病变检查等糖尿病及并发症的相关检查）</w:t>
      </w:r>
      <w:r>
        <w:rPr>
          <w:rFonts w:hint="eastAsia" w:ascii="仿宋_GB2312" w:hAnsi="仿宋_GB2312" w:eastAsia="仿宋_GB2312"/>
          <w:sz w:val="32"/>
          <w:szCs w:val="32"/>
        </w:rPr>
        <w:t>。</w:t>
      </w:r>
    </w:p>
    <w:p w14:paraId="57F570B7">
      <w:pPr>
        <w:overflowPunct w:val="0"/>
        <w:autoSpaceDE w:val="0"/>
        <w:autoSpaceDN w:val="0"/>
        <w:adjustRightInd w:val="0"/>
        <w:snapToGrid w:val="0"/>
        <w:spacing w:line="570" w:lineRule="exact"/>
        <w:ind w:firstLine="630" w:firstLineChars="197"/>
        <w:rPr>
          <w:rFonts w:ascii="楷体_GB2312" w:hAnsi="Times New Roman" w:eastAsia="楷体_GB2312"/>
          <w:bCs/>
          <w:sz w:val="32"/>
          <w:szCs w:val="32"/>
        </w:rPr>
      </w:pPr>
      <w:r>
        <w:rPr>
          <w:rFonts w:hint="eastAsia" w:ascii="楷体_GB2312" w:hAnsi="Times New Roman" w:eastAsia="楷体_GB2312"/>
          <w:bCs/>
          <w:sz w:val="32"/>
          <w:szCs w:val="32"/>
        </w:rPr>
        <w:t>（四）复审期限</w:t>
      </w:r>
    </w:p>
    <w:p w14:paraId="2B244A4C">
      <w:pPr>
        <w:overflowPunct w:val="0"/>
        <w:autoSpaceDE w:val="0"/>
        <w:autoSpaceDN w:val="0"/>
        <w:adjustRightInd w:val="0"/>
        <w:snapToGrid w:val="0"/>
        <w:spacing w:line="570" w:lineRule="exact"/>
        <w:ind w:firstLine="640"/>
      </w:pPr>
      <w:r>
        <w:rPr>
          <w:rFonts w:hint="eastAsia" w:ascii="仿宋_GB2312" w:hAnsi="仿宋_GB2312" w:eastAsia="仿宋_GB2312"/>
          <w:bCs/>
          <w:sz w:val="32"/>
          <w:szCs w:val="32"/>
        </w:rPr>
        <w:t>长期。</w:t>
      </w:r>
    </w:p>
    <w:p w14:paraId="62F22BCC">
      <w:pPr>
        <w:overflowPunct w:val="0"/>
        <w:autoSpaceDE w:val="0"/>
        <w:autoSpaceDN w:val="0"/>
        <w:adjustRightInd w:val="0"/>
        <w:snapToGrid w:val="0"/>
        <w:spacing w:line="570" w:lineRule="exact"/>
        <w:ind w:firstLine="640"/>
        <w:rPr>
          <w:rFonts w:ascii="黑体" w:hAnsi="黑体" w:eastAsia="黑体"/>
          <w:kern w:val="0"/>
          <w:sz w:val="32"/>
          <w:szCs w:val="32"/>
          <w:lang w:eastAsia="zh-Hans" w:bidi="ar"/>
        </w:rPr>
      </w:pPr>
      <w:r>
        <w:rPr>
          <w:rFonts w:hint="eastAsia" w:ascii="黑体" w:hAnsi="黑体" w:eastAsia="黑体"/>
          <w:kern w:val="0"/>
          <w:sz w:val="32"/>
          <w:szCs w:val="32"/>
          <w:lang w:bidi="ar"/>
        </w:rPr>
        <w:t>四、</w:t>
      </w:r>
      <w:r>
        <w:rPr>
          <w:rFonts w:hint="eastAsia" w:ascii="黑体" w:hAnsi="黑体" w:eastAsia="黑体"/>
          <w:kern w:val="0"/>
          <w:sz w:val="32"/>
          <w:szCs w:val="32"/>
          <w:lang w:eastAsia="zh-Hans" w:bidi="ar"/>
        </w:rPr>
        <w:t>甲状腺功能亢进症</w:t>
      </w:r>
    </w:p>
    <w:p w14:paraId="157174F7">
      <w:pPr>
        <w:overflowPunct w:val="0"/>
        <w:autoSpaceDE w:val="0"/>
        <w:autoSpaceDN w:val="0"/>
        <w:adjustRightInd w:val="0"/>
        <w:snapToGrid w:val="0"/>
        <w:spacing w:line="570" w:lineRule="exact"/>
        <w:ind w:firstLine="630" w:firstLineChars="197"/>
        <w:rPr>
          <w:rFonts w:ascii="楷体_GB2312" w:hAnsi="Times New Roman" w:eastAsia="楷体_GB2312"/>
          <w:bCs/>
          <w:sz w:val="32"/>
          <w:szCs w:val="32"/>
        </w:rPr>
      </w:pPr>
      <w:r>
        <w:rPr>
          <w:rFonts w:hint="eastAsia" w:ascii="楷体_GB2312" w:hAnsi="Times New Roman" w:eastAsia="楷体_GB2312"/>
          <w:bCs/>
          <w:sz w:val="32"/>
          <w:szCs w:val="32"/>
        </w:rPr>
        <w:t>（一）申报资料</w:t>
      </w:r>
    </w:p>
    <w:p w14:paraId="35291371">
      <w:pPr>
        <w:pStyle w:val="15"/>
        <w:overflowPunct w:val="0"/>
        <w:autoSpaceDE w:val="0"/>
        <w:autoSpaceDN w:val="0"/>
        <w:adjustRightInd w:val="0"/>
        <w:snapToGrid w:val="0"/>
        <w:spacing w:line="570" w:lineRule="exact"/>
        <w:ind w:firstLine="0" w:firstLineChars="0"/>
        <w:rPr>
          <w:rFonts w:ascii="仿宋_GB2312" w:hAnsi="Times New Roman" w:eastAsia="仿宋_GB2312"/>
          <w:sz w:val="32"/>
          <w:szCs w:val="32"/>
        </w:rPr>
      </w:pPr>
      <w:r>
        <w:rPr>
          <w:rFonts w:hint="eastAsia" w:ascii="仿宋_GB2312" w:hAnsi="Times New Roman" w:eastAsia="仿宋_GB2312"/>
          <w:kern w:val="0"/>
          <w:sz w:val="32"/>
          <w:szCs w:val="32"/>
        </w:rPr>
        <w:t xml:space="preserve">    1.</w:t>
      </w:r>
      <w:r>
        <w:rPr>
          <w:rFonts w:hint="eastAsia" w:ascii="仿宋_GB2312" w:hAnsi="仿宋_GB2312" w:eastAsia="仿宋_GB2312"/>
          <w:kern w:val="0"/>
          <w:sz w:val="32"/>
          <w:szCs w:val="32"/>
          <w:lang w:bidi="ar"/>
        </w:rPr>
        <w:t>初次申报或续报须提供患者本人近三个月</w:t>
      </w:r>
      <w:r>
        <w:rPr>
          <w:rFonts w:hint="eastAsia" w:ascii="仿宋_GB2312" w:hAnsi="仿宋_GB2312" w:eastAsia="仿宋_GB2312"/>
          <w:sz w:val="32"/>
          <w:szCs w:val="32"/>
        </w:rPr>
        <w:t>医保定点医疗机构</w:t>
      </w:r>
      <w:r>
        <w:rPr>
          <w:rFonts w:hint="eastAsia" w:ascii="仿宋_GB2312" w:hAnsi="仿宋_GB2312" w:eastAsia="仿宋_GB2312"/>
          <w:kern w:val="0"/>
          <w:sz w:val="32"/>
          <w:szCs w:val="32"/>
          <w:lang w:bidi="ar"/>
        </w:rPr>
        <w:t>完整的临床资料及实验室检查（血甲状腺功能测定）资料；</w:t>
      </w:r>
    </w:p>
    <w:p w14:paraId="3BEEF384">
      <w:pPr>
        <w:overflowPunct w:val="0"/>
        <w:autoSpaceDE w:val="0"/>
        <w:autoSpaceDN w:val="0"/>
        <w:adjustRightInd w:val="0"/>
        <w:snapToGrid w:val="0"/>
        <w:spacing w:line="570" w:lineRule="exact"/>
        <w:ind w:firstLine="640" w:firstLineChars="200"/>
        <w:rPr>
          <w:rFonts w:ascii="仿宋_GB2312" w:hAnsi="Times New Roman" w:eastAsia="仿宋_GB2312"/>
          <w:sz w:val="32"/>
          <w:szCs w:val="32"/>
        </w:rPr>
      </w:pPr>
      <w:r>
        <w:rPr>
          <w:rFonts w:hint="eastAsia" w:ascii="仿宋_GB2312" w:hAnsi="Times New Roman" w:eastAsia="仿宋_GB2312"/>
          <w:kern w:val="0"/>
          <w:sz w:val="32"/>
          <w:szCs w:val="32"/>
          <w:lang w:bidi="ar"/>
        </w:rPr>
        <w:t>2.</w:t>
      </w:r>
      <w:r>
        <w:rPr>
          <w:rFonts w:hint="eastAsia" w:ascii="仿宋_GB2312" w:hAnsi="仿宋_GB2312" w:eastAsia="仿宋_GB2312"/>
          <w:sz w:val="32"/>
          <w:szCs w:val="32"/>
        </w:rPr>
        <w:t>医保定点医疗机构</w:t>
      </w:r>
      <w:r>
        <w:rPr>
          <w:rFonts w:hint="eastAsia" w:ascii="仿宋_GB2312" w:hAnsi="仿宋_GB2312" w:eastAsia="仿宋_GB2312"/>
          <w:kern w:val="0"/>
          <w:sz w:val="32"/>
          <w:szCs w:val="32"/>
          <w:lang w:bidi="ar"/>
        </w:rPr>
        <w:t>相关科室</w:t>
      </w:r>
      <w:r>
        <w:rPr>
          <w:rFonts w:hint="eastAsia" w:ascii="仿宋_GB2312" w:hAnsi="仿宋_GB2312" w:eastAsia="仿宋_GB2312"/>
          <w:kern w:val="0"/>
          <w:sz w:val="32"/>
          <w:szCs w:val="32"/>
          <w:lang w:eastAsia="zh-Hans" w:bidi="ar"/>
        </w:rPr>
        <w:t>主治</w:t>
      </w:r>
      <w:r>
        <w:rPr>
          <w:rFonts w:hint="eastAsia" w:ascii="仿宋_GB2312" w:hAnsi="仿宋_GB2312" w:eastAsia="仿宋_GB2312"/>
          <w:kern w:val="0"/>
          <w:sz w:val="32"/>
          <w:szCs w:val="32"/>
          <w:lang w:bidi="ar"/>
        </w:rPr>
        <w:t>医师以上</w:t>
      </w:r>
      <w:r>
        <w:rPr>
          <w:rFonts w:hint="eastAsia" w:ascii="仿宋_GB2312" w:hAnsi="Times New Roman" w:eastAsia="仿宋_GB2312"/>
          <w:kern w:val="0"/>
          <w:sz w:val="32"/>
          <w:szCs w:val="32"/>
          <w:lang w:bidi="ar"/>
        </w:rPr>
        <w:t>(</w:t>
      </w:r>
      <w:r>
        <w:rPr>
          <w:rFonts w:hint="eastAsia" w:ascii="仿宋_GB2312" w:hAnsi="仿宋_GB2312" w:eastAsia="仿宋_GB2312"/>
          <w:kern w:val="0"/>
          <w:sz w:val="32"/>
          <w:szCs w:val="32"/>
          <w:lang w:bidi="ar"/>
        </w:rPr>
        <w:t>含</w:t>
      </w:r>
      <w:r>
        <w:rPr>
          <w:rFonts w:hint="eastAsia" w:ascii="仿宋_GB2312" w:hAnsi="仿宋_GB2312" w:eastAsia="仿宋_GB2312"/>
          <w:kern w:val="0"/>
          <w:sz w:val="32"/>
          <w:szCs w:val="32"/>
          <w:lang w:eastAsia="zh-Hans" w:bidi="ar"/>
        </w:rPr>
        <w:t>主治</w:t>
      </w:r>
      <w:r>
        <w:rPr>
          <w:rFonts w:hint="eastAsia" w:ascii="仿宋_GB2312" w:hAnsi="仿宋_GB2312" w:eastAsia="仿宋_GB2312"/>
          <w:kern w:val="0"/>
          <w:sz w:val="32"/>
          <w:szCs w:val="32"/>
          <w:lang w:bidi="ar"/>
        </w:rPr>
        <w:t>医师</w:t>
      </w:r>
      <w:r>
        <w:rPr>
          <w:rFonts w:hint="eastAsia" w:ascii="仿宋_GB2312" w:hAnsi="Times New Roman" w:eastAsia="仿宋_GB2312"/>
          <w:kern w:val="0"/>
          <w:sz w:val="32"/>
          <w:szCs w:val="32"/>
          <w:lang w:bidi="ar"/>
        </w:rPr>
        <w:t>)</w:t>
      </w:r>
      <w:r>
        <w:rPr>
          <w:rFonts w:hint="eastAsia" w:ascii="仿宋_GB2312" w:hAnsi="仿宋_GB2312" w:eastAsia="仿宋_GB2312"/>
          <w:kern w:val="0"/>
          <w:sz w:val="32"/>
          <w:szCs w:val="32"/>
          <w:lang w:bidi="ar"/>
        </w:rPr>
        <w:t>出具的治疗计划。</w:t>
      </w:r>
    </w:p>
    <w:p w14:paraId="011FEC61">
      <w:pPr>
        <w:overflowPunct w:val="0"/>
        <w:autoSpaceDE w:val="0"/>
        <w:autoSpaceDN w:val="0"/>
        <w:adjustRightInd w:val="0"/>
        <w:snapToGrid w:val="0"/>
        <w:spacing w:line="570" w:lineRule="exact"/>
        <w:ind w:firstLine="640" w:firstLineChars="200"/>
        <w:rPr>
          <w:rFonts w:ascii="楷体_GB2312" w:hAnsi="Times New Roman" w:eastAsia="楷体_GB2312"/>
          <w:bCs/>
          <w:sz w:val="32"/>
          <w:szCs w:val="32"/>
        </w:rPr>
      </w:pPr>
      <w:r>
        <w:rPr>
          <w:rFonts w:hint="eastAsia" w:ascii="楷体_GB2312" w:hAnsi="Times New Roman" w:eastAsia="楷体_GB2312"/>
          <w:bCs/>
          <w:sz w:val="32"/>
          <w:szCs w:val="32"/>
        </w:rPr>
        <w:t>（二）治疗指征（认定标准）</w:t>
      </w:r>
    </w:p>
    <w:p w14:paraId="1885C5ED">
      <w:pPr>
        <w:pStyle w:val="16"/>
        <w:overflowPunct w:val="0"/>
        <w:autoSpaceDE w:val="0"/>
        <w:autoSpaceDN w:val="0"/>
        <w:adjustRightInd w:val="0"/>
        <w:snapToGrid w:val="0"/>
        <w:spacing w:line="570" w:lineRule="exact"/>
        <w:ind w:firstLine="0" w:firstLineChars="0"/>
        <w:rPr>
          <w:rFonts w:ascii="仿宋_GB2312" w:hAnsi="Times New Roman" w:eastAsia="仿宋_GB2312"/>
          <w:sz w:val="32"/>
          <w:szCs w:val="32"/>
        </w:rPr>
      </w:pPr>
      <w:r>
        <w:rPr>
          <w:rFonts w:hint="eastAsia" w:ascii="仿宋_GB2312" w:hAnsi="Times New Roman" w:eastAsia="仿宋_GB2312"/>
          <w:kern w:val="0"/>
          <w:sz w:val="32"/>
          <w:szCs w:val="32"/>
          <w:lang w:bidi="ar"/>
        </w:rPr>
        <w:t xml:space="preserve">    1.</w:t>
      </w:r>
      <w:r>
        <w:rPr>
          <w:rFonts w:hint="eastAsia" w:ascii="仿宋_GB2312" w:hAnsi="仿宋_GB2312" w:eastAsia="仿宋_GB2312"/>
          <w:kern w:val="0"/>
          <w:sz w:val="32"/>
          <w:szCs w:val="32"/>
          <w:lang w:bidi="ar"/>
        </w:rPr>
        <w:t>经二级以上医保定点医疗机构确诊的甲状腺</w:t>
      </w:r>
      <w:r>
        <w:rPr>
          <w:rFonts w:hint="eastAsia" w:ascii="仿宋_GB2312" w:hAnsi="仿宋_GB2312" w:eastAsia="仿宋_GB2312"/>
          <w:kern w:val="0"/>
          <w:sz w:val="32"/>
          <w:szCs w:val="32"/>
          <w:lang w:eastAsia="zh-Hans" w:bidi="ar"/>
        </w:rPr>
        <w:t>功</w:t>
      </w:r>
      <w:r>
        <w:rPr>
          <w:rFonts w:hint="eastAsia" w:ascii="仿宋_GB2312" w:hAnsi="仿宋_GB2312" w:eastAsia="仿宋_GB2312"/>
          <w:kern w:val="0"/>
          <w:sz w:val="32"/>
          <w:szCs w:val="32"/>
          <w:lang w:bidi="ar"/>
        </w:rPr>
        <w:t>能亢进症</w:t>
      </w:r>
      <w:r>
        <w:rPr>
          <w:rFonts w:hint="eastAsia" w:ascii="仿宋_GB2312" w:hAnsi="Times New Roman" w:eastAsia="仿宋_GB2312"/>
          <w:kern w:val="0"/>
          <w:sz w:val="32"/>
          <w:szCs w:val="32"/>
          <w:lang w:bidi="ar"/>
        </w:rPr>
        <w:t>,</w:t>
      </w:r>
      <w:r>
        <w:rPr>
          <w:rFonts w:hint="eastAsia" w:ascii="仿宋_GB2312" w:hAnsi="仿宋_GB2312" w:eastAsia="仿宋_GB2312"/>
          <w:kern w:val="0"/>
          <w:sz w:val="32"/>
          <w:szCs w:val="32"/>
          <w:lang w:bidi="ar"/>
        </w:rPr>
        <w:t>需要在门诊长期治疗；</w:t>
      </w:r>
    </w:p>
    <w:p w14:paraId="5864B8C0">
      <w:pPr>
        <w:pStyle w:val="16"/>
        <w:overflowPunct w:val="0"/>
        <w:autoSpaceDE w:val="0"/>
        <w:autoSpaceDN w:val="0"/>
        <w:adjustRightInd w:val="0"/>
        <w:snapToGrid w:val="0"/>
        <w:spacing w:line="570" w:lineRule="exact"/>
        <w:ind w:firstLine="0" w:firstLineChars="0"/>
        <w:rPr>
          <w:rFonts w:ascii="仿宋_GB2312" w:hAnsi="Times New Roman" w:eastAsia="仿宋_GB2312"/>
          <w:kern w:val="0"/>
          <w:sz w:val="32"/>
          <w:szCs w:val="32"/>
        </w:rPr>
      </w:pPr>
      <w:r>
        <w:rPr>
          <w:rFonts w:hint="eastAsia" w:ascii="仿宋_GB2312" w:hAnsi="Times New Roman" w:eastAsia="仿宋_GB2312"/>
          <w:kern w:val="0"/>
          <w:sz w:val="32"/>
          <w:szCs w:val="32"/>
          <w:lang w:bidi="ar"/>
        </w:rPr>
        <w:t xml:space="preserve">    2.</w:t>
      </w:r>
      <w:r>
        <w:rPr>
          <w:rFonts w:hint="eastAsia" w:ascii="仿宋_GB2312" w:hAnsi="仿宋_GB2312" w:eastAsia="仿宋_GB2312"/>
          <w:kern w:val="0"/>
          <w:sz w:val="32"/>
          <w:szCs w:val="32"/>
          <w:lang w:bidi="ar"/>
        </w:rPr>
        <w:t>除外亚急性甲状腺炎、产后甲状腺炎、</w:t>
      </w:r>
      <w:r>
        <w:rPr>
          <w:rFonts w:hint="eastAsia" w:ascii="仿宋_GB2312" w:hAnsi="Times New Roman" w:eastAsia="仿宋_GB2312"/>
          <w:kern w:val="0"/>
          <w:sz w:val="32"/>
          <w:szCs w:val="32"/>
          <w:lang w:bidi="ar"/>
        </w:rPr>
        <w:t>HCG</w:t>
      </w:r>
      <w:r>
        <w:rPr>
          <w:rFonts w:hint="eastAsia" w:ascii="仿宋_GB2312" w:hAnsi="仿宋_GB2312" w:eastAsia="仿宋_GB2312"/>
          <w:kern w:val="0"/>
          <w:sz w:val="32"/>
          <w:szCs w:val="32"/>
          <w:lang w:bidi="ar"/>
        </w:rPr>
        <w:t>相关性甲状腺毒症。</w:t>
      </w:r>
    </w:p>
    <w:p w14:paraId="6BBBBE03">
      <w:pPr>
        <w:overflowPunct w:val="0"/>
        <w:autoSpaceDE w:val="0"/>
        <w:autoSpaceDN w:val="0"/>
        <w:adjustRightInd w:val="0"/>
        <w:snapToGrid w:val="0"/>
        <w:spacing w:line="570" w:lineRule="exact"/>
        <w:ind w:firstLine="640" w:firstLineChars="200"/>
        <w:rPr>
          <w:rFonts w:ascii="楷体_GB2312" w:hAnsi="Times New Roman" w:eastAsia="楷体_GB2312"/>
          <w:bCs/>
          <w:sz w:val="32"/>
          <w:szCs w:val="32"/>
        </w:rPr>
      </w:pPr>
      <w:r>
        <w:rPr>
          <w:rFonts w:hint="eastAsia" w:ascii="楷体_GB2312" w:hAnsi="Times New Roman" w:eastAsia="楷体_GB2312"/>
          <w:bCs/>
          <w:sz w:val="32"/>
          <w:szCs w:val="32"/>
        </w:rPr>
        <w:t>（三）门诊诊疗范围</w:t>
      </w:r>
    </w:p>
    <w:p w14:paraId="7EA2DEDE">
      <w:pPr>
        <w:pStyle w:val="15"/>
        <w:overflowPunct w:val="0"/>
        <w:autoSpaceDE w:val="0"/>
        <w:autoSpaceDN w:val="0"/>
        <w:adjustRightInd w:val="0"/>
        <w:snapToGrid w:val="0"/>
        <w:spacing w:line="570" w:lineRule="exact"/>
        <w:ind w:firstLine="0" w:firstLineChars="0"/>
        <w:rPr>
          <w:rFonts w:ascii="仿宋_GB2312" w:hAnsi="Times New Roman" w:eastAsia="仿宋_GB2312"/>
          <w:kern w:val="0"/>
          <w:sz w:val="32"/>
          <w:szCs w:val="32"/>
          <w:lang w:bidi="ar"/>
        </w:rPr>
      </w:pPr>
      <w:r>
        <w:rPr>
          <w:rFonts w:hint="eastAsia" w:ascii="仿宋_GB2312" w:hAnsi="Times New Roman" w:eastAsia="仿宋_GB2312"/>
          <w:kern w:val="0"/>
          <w:sz w:val="32"/>
          <w:szCs w:val="32"/>
          <w:lang w:bidi="ar"/>
        </w:rPr>
        <w:t xml:space="preserve">    1.</w:t>
      </w:r>
      <w:r>
        <w:rPr>
          <w:rFonts w:hint="eastAsia" w:ascii="仿宋_GB2312" w:hAnsi="仿宋_GB2312" w:eastAsia="仿宋_GB2312"/>
          <w:kern w:val="0"/>
          <w:sz w:val="32"/>
          <w:szCs w:val="32"/>
          <w:lang w:bidi="ar"/>
        </w:rPr>
        <w:t>甲状腺</w:t>
      </w:r>
      <w:r>
        <w:rPr>
          <w:rFonts w:hint="eastAsia" w:ascii="仿宋_GB2312" w:hAnsi="仿宋_GB2312" w:eastAsia="仿宋_GB2312"/>
          <w:kern w:val="0"/>
          <w:sz w:val="32"/>
          <w:szCs w:val="32"/>
          <w:lang w:eastAsia="zh-Hans" w:bidi="ar"/>
        </w:rPr>
        <w:t>功</w:t>
      </w:r>
      <w:r>
        <w:rPr>
          <w:rFonts w:hint="eastAsia" w:ascii="仿宋_GB2312" w:hAnsi="仿宋_GB2312" w:eastAsia="仿宋_GB2312"/>
          <w:kern w:val="0"/>
          <w:sz w:val="32"/>
          <w:szCs w:val="32"/>
          <w:lang w:bidi="ar"/>
        </w:rPr>
        <w:t>能亢进症的药物治疗</w:t>
      </w:r>
      <w:r>
        <w:rPr>
          <w:rFonts w:hint="eastAsia" w:ascii="仿宋_GB2312" w:hAnsi="Times New Roman" w:eastAsia="仿宋_GB2312"/>
          <w:kern w:val="0"/>
          <w:sz w:val="32"/>
          <w:szCs w:val="32"/>
          <w:lang w:bidi="ar"/>
        </w:rPr>
        <w:t>,</w:t>
      </w:r>
      <w:r>
        <w:rPr>
          <w:rFonts w:hint="eastAsia" w:ascii="仿宋_GB2312" w:hAnsi="仿宋_GB2312" w:eastAsia="仿宋_GB2312"/>
          <w:kern w:val="0"/>
          <w:sz w:val="32"/>
          <w:szCs w:val="32"/>
          <w:lang w:bidi="ar"/>
        </w:rPr>
        <w:t>核医学治疗</w:t>
      </w:r>
      <w:r>
        <w:rPr>
          <w:rFonts w:hint="eastAsia" w:ascii="仿宋_GB2312" w:hAnsi="Times New Roman" w:eastAsia="仿宋_GB2312"/>
          <w:kern w:val="0"/>
          <w:sz w:val="32"/>
          <w:szCs w:val="32"/>
          <w:lang w:bidi="ar"/>
        </w:rPr>
        <w:t>,</w:t>
      </w:r>
      <w:r>
        <w:rPr>
          <w:rFonts w:hint="eastAsia" w:ascii="仿宋_GB2312" w:hAnsi="仿宋_GB2312" w:eastAsia="仿宋_GB2312"/>
          <w:kern w:val="0"/>
          <w:sz w:val="32"/>
          <w:szCs w:val="32"/>
          <w:lang w:bidi="ar"/>
        </w:rPr>
        <w:t>及手术后的维持治疗</w:t>
      </w:r>
      <w:r>
        <w:rPr>
          <w:rFonts w:hint="eastAsia" w:ascii="仿宋_GB2312" w:hAnsi="Times New Roman" w:eastAsia="仿宋_GB2312"/>
          <w:kern w:val="0"/>
          <w:sz w:val="32"/>
          <w:szCs w:val="32"/>
          <w:lang w:bidi="ar"/>
        </w:rPr>
        <w:t>;</w:t>
      </w:r>
    </w:p>
    <w:p w14:paraId="0DA3EF7D">
      <w:pPr>
        <w:pStyle w:val="15"/>
        <w:overflowPunct w:val="0"/>
        <w:autoSpaceDE w:val="0"/>
        <w:autoSpaceDN w:val="0"/>
        <w:adjustRightInd w:val="0"/>
        <w:snapToGrid w:val="0"/>
        <w:spacing w:line="570" w:lineRule="exact"/>
        <w:ind w:firstLine="0" w:firstLineChars="0"/>
        <w:rPr>
          <w:rFonts w:ascii="仿宋_GB2312" w:hAnsi="Times New Roman" w:eastAsia="仿宋_GB2312"/>
          <w:kern w:val="0"/>
          <w:sz w:val="32"/>
          <w:szCs w:val="32"/>
          <w:lang w:bidi="ar"/>
        </w:rPr>
      </w:pPr>
      <w:r>
        <w:rPr>
          <w:rFonts w:hint="eastAsia" w:ascii="仿宋_GB2312" w:hAnsi="Times New Roman" w:eastAsia="仿宋_GB2312"/>
          <w:kern w:val="0"/>
          <w:sz w:val="32"/>
          <w:szCs w:val="32"/>
          <w:lang w:bidi="ar"/>
        </w:rPr>
        <w:t xml:space="preserve">    2.</w:t>
      </w:r>
      <w:r>
        <w:rPr>
          <w:rFonts w:hint="eastAsia" w:ascii="仿宋_GB2312" w:hAnsi="仿宋_GB2312" w:eastAsia="仿宋_GB2312"/>
          <w:kern w:val="0"/>
          <w:sz w:val="32"/>
          <w:szCs w:val="32"/>
          <w:lang w:bidi="ar"/>
        </w:rPr>
        <w:t>甲状腺</w:t>
      </w:r>
      <w:r>
        <w:rPr>
          <w:rFonts w:hint="eastAsia" w:ascii="仿宋_GB2312" w:hAnsi="仿宋_GB2312" w:eastAsia="仿宋_GB2312"/>
          <w:kern w:val="0"/>
          <w:sz w:val="32"/>
          <w:szCs w:val="32"/>
          <w:lang w:eastAsia="zh-Hans" w:bidi="ar"/>
        </w:rPr>
        <w:t>功</w:t>
      </w:r>
      <w:r>
        <w:rPr>
          <w:rFonts w:hint="eastAsia" w:ascii="仿宋_GB2312" w:hAnsi="仿宋_GB2312" w:eastAsia="仿宋_GB2312"/>
          <w:kern w:val="0"/>
          <w:sz w:val="32"/>
          <w:szCs w:val="32"/>
          <w:lang w:bidi="ar"/>
        </w:rPr>
        <w:t>能亢进症的并发症治疗</w:t>
      </w:r>
      <w:r>
        <w:rPr>
          <w:rFonts w:hint="eastAsia" w:ascii="仿宋_GB2312" w:hAnsi="Times New Roman" w:eastAsia="仿宋_GB2312"/>
          <w:kern w:val="0"/>
          <w:sz w:val="32"/>
          <w:szCs w:val="32"/>
          <w:lang w:bidi="ar"/>
        </w:rPr>
        <w:t>,</w:t>
      </w:r>
      <w:r>
        <w:rPr>
          <w:rFonts w:hint="eastAsia" w:ascii="仿宋_GB2312" w:hAnsi="仿宋_GB2312" w:eastAsia="仿宋_GB2312"/>
          <w:kern w:val="0"/>
          <w:sz w:val="32"/>
          <w:szCs w:val="32"/>
          <w:lang w:bidi="ar"/>
        </w:rPr>
        <w:t>如</w:t>
      </w:r>
      <w:r>
        <w:rPr>
          <w:rFonts w:hint="eastAsia" w:ascii="仿宋_GB2312" w:hAnsi="Times New Roman" w:eastAsia="仿宋_GB2312"/>
          <w:kern w:val="0"/>
          <w:sz w:val="32"/>
          <w:szCs w:val="32"/>
          <w:lang w:bidi="ar"/>
        </w:rPr>
        <w:t>:</w:t>
      </w:r>
      <w:r>
        <w:rPr>
          <w:rFonts w:hint="eastAsia" w:ascii="仿宋_GB2312" w:hAnsi="仿宋_GB2312" w:eastAsia="仿宋_GB2312"/>
          <w:kern w:val="0"/>
          <w:sz w:val="32"/>
          <w:szCs w:val="32"/>
          <w:lang w:bidi="ar"/>
        </w:rPr>
        <w:t>甲亢性心脏病、白细胞减少（含粒细胞缺乏）、</w:t>
      </w:r>
      <w:r>
        <w:rPr>
          <w:rFonts w:hint="eastAsia" w:ascii="仿宋_GB2312" w:hAnsi="仿宋_GB2312" w:eastAsia="仿宋_GB2312"/>
          <w:kern w:val="0"/>
          <w:sz w:val="32"/>
          <w:szCs w:val="32"/>
          <w:lang w:eastAsia="zh-Hans" w:bidi="ar"/>
        </w:rPr>
        <w:t>甲状腺相关眼病、</w:t>
      </w:r>
      <w:r>
        <w:rPr>
          <w:rFonts w:hint="eastAsia" w:ascii="仿宋_GB2312" w:hAnsi="仿宋_GB2312" w:eastAsia="仿宋_GB2312"/>
          <w:kern w:val="0"/>
          <w:sz w:val="32"/>
          <w:szCs w:val="32"/>
          <w:lang w:bidi="ar"/>
        </w:rPr>
        <w:t>与甲亢相关的肝损害皮肤损害、甲亢危象前期、甲亢危象等；</w:t>
      </w:r>
    </w:p>
    <w:p w14:paraId="02749DAF">
      <w:pPr>
        <w:pStyle w:val="15"/>
        <w:overflowPunct w:val="0"/>
        <w:autoSpaceDE w:val="0"/>
        <w:autoSpaceDN w:val="0"/>
        <w:adjustRightInd w:val="0"/>
        <w:snapToGrid w:val="0"/>
        <w:spacing w:line="570" w:lineRule="exact"/>
        <w:ind w:firstLine="640"/>
        <w:rPr>
          <w:rFonts w:ascii="仿宋_GB2312" w:hAnsi="Times New Roman" w:eastAsia="仿宋_GB2312"/>
          <w:kern w:val="0"/>
          <w:sz w:val="32"/>
          <w:szCs w:val="32"/>
        </w:rPr>
      </w:pPr>
      <w:r>
        <w:rPr>
          <w:rFonts w:hint="eastAsia" w:ascii="仿宋_GB2312" w:hAnsi="Times New Roman" w:eastAsia="仿宋_GB2312"/>
          <w:kern w:val="0"/>
          <w:sz w:val="32"/>
          <w:szCs w:val="32"/>
          <w:lang w:bidi="ar"/>
        </w:rPr>
        <w:t>3.</w:t>
      </w:r>
      <w:r>
        <w:rPr>
          <w:rFonts w:hint="eastAsia" w:ascii="仿宋_GB2312" w:hAnsi="仿宋_GB2312" w:eastAsia="仿宋_GB2312"/>
          <w:kern w:val="0"/>
          <w:sz w:val="32"/>
          <w:szCs w:val="32"/>
          <w:lang w:bidi="ar"/>
        </w:rPr>
        <w:t>甲状腺</w:t>
      </w:r>
      <w:r>
        <w:rPr>
          <w:rFonts w:hint="eastAsia" w:ascii="仿宋_GB2312" w:hAnsi="仿宋_GB2312" w:eastAsia="仿宋_GB2312"/>
          <w:kern w:val="0"/>
          <w:sz w:val="32"/>
          <w:szCs w:val="32"/>
          <w:lang w:eastAsia="zh-Hans" w:bidi="ar"/>
        </w:rPr>
        <w:t>功</w:t>
      </w:r>
      <w:r>
        <w:rPr>
          <w:rFonts w:hint="eastAsia" w:ascii="仿宋_GB2312" w:hAnsi="仿宋_GB2312" w:eastAsia="仿宋_GB2312"/>
          <w:kern w:val="0"/>
          <w:sz w:val="32"/>
          <w:szCs w:val="32"/>
          <w:lang w:bidi="ar"/>
        </w:rPr>
        <w:t>能亢进症治疗期间的相关检查。</w:t>
      </w:r>
    </w:p>
    <w:p w14:paraId="53B0C335">
      <w:pPr>
        <w:overflowPunct w:val="0"/>
        <w:autoSpaceDE w:val="0"/>
        <w:autoSpaceDN w:val="0"/>
        <w:adjustRightInd w:val="0"/>
        <w:snapToGrid w:val="0"/>
        <w:spacing w:line="570" w:lineRule="exact"/>
        <w:ind w:firstLine="640" w:firstLineChars="200"/>
        <w:rPr>
          <w:rFonts w:ascii="楷体_GB2312" w:hAnsi="Times New Roman" w:eastAsia="楷体_GB2312"/>
          <w:bCs/>
          <w:sz w:val="32"/>
          <w:szCs w:val="32"/>
        </w:rPr>
      </w:pPr>
      <w:r>
        <w:rPr>
          <w:rFonts w:hint="eastAsia" w:ascii="楷体_GB2312" w:hAnsi="Times New Roman" w:eastAsia="楷体_GB2312"/>
          <w:bCs/>
          <w:sz w:val="32"/>
          <w:szCs w:val="32"/>
        </w:rPr>
        <w:t>（四）复审期限</w:t>
      </w:r>
    </w:p>
    <w:p w14:paraId="7630D177">
      <w:pPr>
        <w:pStyle w:val="12"/>
        <w:widowControl w:val="0"/>
        <w:overflowPunct w:val="0"/>
        <w:autoSpaceDE w:val="0"/>
        <w:autoSpaceDN w:val="0"/>
        <w:adjustRightInd w:val="0"/>
        <w:snapToGrid w:val="0"/>
        <w:spacing w:line="570" w:lineRule="exact"/>
        <w:ind w:firstLine="640" w:firstLineChars="200"/>
        <w:jc w:val="both"/>
        <w:rPr>
          <w:rFonts w:ascii="仿宋_GB2312" w:hAnsi="仿宋_GB2312" w:eastAsia="仿宋_GB2312"/>
          <w:bCs/>
          <w:sz w:val="32"/>
          <w:szCs w:val="32"/>
        </w:rPr>
      </w:pPr>
      <w:r>
        <w:rPr>
          <w:rFonts w:hint="eastAsia" w:ascii="仿宋_GB2312" w:hAnsi="仿宋_GB2312" w:eastAsia="仿宋_GB2312"/>
          <w:bCs/>
          <w:sz w:val="32"/>
          <w:szCs w:val="32"/>
        </w:rPr>
        <w:t>每</w:t>
      </w:r>
      <w:r>
        <w:rPr>
          <w:rFonts w:hint="eastAsia" w:ascii="仿宋_GB2312" w:hAnsi="Times New Roman" w:eastAsia="仿宋_GB2312"/>
          <w:bCs/>
          <w:sz w:val="32"/>
          <w:szCs w:val="32"/>
        </w:rPr>
        <w:t>3</w:t>
      </w:r>
      <w:r>
        <w:rPr>
          <w:rFonts w:hint="eastAsia" w:ascii="仿宋_GB2312" w:hAnsi="仿宋_GB2312" w:eastAsia="仿宋_GB2312"/>
          <w:bCs/>
          <w:sz w:val="32"/>
          <w:szCs w:val="32"/>
        </w:rPr>
        <w:t>年复审一次。</w:t>
      </w:r>
    </w:p>
    <w:p w14:paraId="25662CD4">
      <w:pPr>
        <w:pStyle w:val="12"/>
        <w:widowControl w:val="0"/>
        <w:overflowPunct w:val="0"/>
        <w:autoSpaceDE w:val="0"/>
        <w:autoSpaceDN w:val="0"/>
        <w:adjustRightInd w:val="0"/>
        <w:snapToGrid w:val="0"/>
        <w:spacing w:line="570" w:lineRule="exact"/>
        <w:ind w:firstLine="640" w:firstLineChars="200"/>
        <w:jc w:val="both"/>
        <w:rPr>
          <w:rFonts w:ascii="仿宋_GB2312" w:hAnsi="Times New Roman" w:eastAsia="仿宋_GB2312"/>
          <w:sz w:val="32"/>
          <w:szCs w:val="32"/>
        </w:rPr>
      </w:pPr>
      <w:r>
        <w:rPr>
          <w:rFonts w:hint="eastAsia" w:ascii="黑体" w:hAnsi="黑体" w:eastAsia="黑体"/>
          <w:sz w:val="32"/>
          <w:szCs w:val="32"/>
        </w:rPr>
        <w:t>五、</w:t>
      </w:r>
      <w:r>
        <w:rPr>
          <w:rFonts w:hint="eastAsia" w:ascii="黑体" w:hAnsi="黑体" w:eastAsia="黑体"/>
          <w:sz w:val="32"/>
          <w:szCs w:val="32"/>
          <w:lang w:bidi="ar"/>
        </w:rPr>
        <w:t>甲状腺功能减退症</w:t>
      </w:r>
    </w:p>
    <w:p w14:paraId="04C16190">
      <w:pPr>
        <w:overflowPunct w:val="0"/>
        <w:autoSpaceDE w:val="0"/>
        <w:autoSpaceDN w:val="0"/>
        <w:adjustRightInd w:val="0"/>
        <w:snapToGrid w:val="0"/>
        <w:spacing w:line="570" w:lineRule="exact"/>
        <w:ind w:firstLine="640" w:firstLineChars="200"/>
        <w:rPr>
          <w:rFonts w:ascii="楷体_GB2312" w:hAnsi="Times New Roman" w:eastAsia="楷体_GB2312"/>
          <w:bCs/>
          <w:sz w:val="32"/>
          <w:szCs w:val="32"/>
        </w:rPr>
      </w:pPr>
      <w:r>
        <w:rPr>
          <w:rFonts w:hint="eastAsia" w:ascii="楷体_GB2312" w:hAnsi="Times New Roman" w:eastAsia="楷体_GB2312"/>
          <w:bCs/>
          <w:sz w:val="32"/>
          <w:szCs w:val="32"/>
        </w:rPr>
        <w:t>（一）申报资料</w:t>
      </w:r>
    </w:p>
    <w:p w14:paraId="403AB03D">
      <w:pPr>
        <w:overflowPunct w:val="0"/>
        <w:autoSpaceDE w:val="0"/>
        <w:autoSpaceDN w:val="0"/>
        <w:adjustRightInd w:val="0"/>
        <w:snapToGrid w:val="0"/>
        <w:spacing w:line="570" w:lineRule="exact"/>
        <w:ind w:firstLine="640"/>
        <w:rPr>
          <w:rFonts w:ascii="仿宋_GB2312" w:hAnsi="Times New Roman" w:eastAsia="仿宋_GB2312"/>
          <w:kern w:val="0"/>
          <w:sz w:val="32"/>
          <w:szCs w:val="32"/>
          <w:lang w:eastAsia="zh-Hans" w:bidi="ar"/>
        </w:rPr>
      </w:pPr>
      <w:r>
        <w:rPr>
          <w:rFonts w:hint="eastAsia" w:ascii="仿宋_GB2312" w:hAnsi="Times New Roman" w:eastAsia="仿宋_GB2312"/>
          <w:bCs/>
          <w:sz w:val="32"/>
          <w:szCs w:val="32"/>
        </w:rPr>
        <w:t>1.</w:t>
      </w:r>
      <w:r>
        <w:rPr>
          <w:rFonts w:hint="eastAsia" w:ascii="仿宋_GB2312" w:hAnsi="仿宋_GB2312" w:eastAsia="仿宋_GB2312"/>
          <w:kern w:val="0"/>
          <w:sz w:val="32"/>
          <w:szCs w:val="32"/>
          <w:lang w:eastAsia="zh-Hans" w:bidi="ar"/>
        </w:rPr>
        <w:t>初次申报或续报须提供患者本人近三个月</w:t>
      </w:r>
      <w:r>
        <w:rPr>
          <w:rFonts w:hint="eastAsia" w:ascii="仿宋_GB2312" w:hAnsi="仿宋_GB2312" w:eastAsia="仿宋_GB2312"/>
          <w:sz w:val="32"/>
          <w:szCs w:val="32"/>
        </w:rPr>
        <w:t>医保定点医疗机构</w:t>
      </w:r>
      <w:r>
        <w:rPr>
          <w:rFonts w:hint="eastAsia" w:ascii="仿宋_GB2312" w:hAnsi="仿宋_GB2312" w:eastAsia="仿宋_GB2312"/>
          <w:kern w:val="0"/>
          <w:sz w:val="32"/>
          <w:szCs w:val="32"/>
          <w:lang w:eastAsia="zh-Hans" w:bidi="ar"/>
        </w:rPr>
        <w:t>完整的临床资料及实验室检查（血甲状腺功能测定）资料；</w:t>
      </w:r>
    </w:p>
    <w:p w14:paraId="0993941B">
      <w:pPr>
        <w:overflowPunct w:val="0"/>
        <w:autoSpaceDE w:val="0"/>
        <w:autoSpaceDN w:val="0"/>
        <w:adjustRightInd w:val="0"/>
        <w:snapToGrid w:val="0"/>
        <w:spacing w:line="570" w:lineRule="exact"/>
        <w:ind w:firstLine="640" w:firstLineChars="200"/>
        <w:rPr>
          <w:rFonts w:ascii="仿宋_GB2312" w:hAnsi="Times New Roman" w:eastAsia="仿宋_GB2312"/>
          <w:kern w:val="0"/>
          <w:sz w:val="32"/>
          <w:szCs w:val="32"/>
        </w:rPr>
      </w:pPr>
      <w:r>
        <w:rPr>
          <w:rFonts w:hint="eastAsia" w:ascii="仿宋_GB2312" w:hAnsi="Times New Roman" w:eastAsia="仿宋_GB2312"/>
          <w:kern w:val="0"/>
          <w:sz w:val="32"/>
          <w:szCs w:val="32"/>
          <w:lang w:bidi="ar"/>
        </w:rPr>
        <w:t>2.</w:t>
      </w:r>
      <w:r>
        <w:rPr>
          <w:rFonts w:hint="eastAsia" w:ascii="仿宋_GB2312" w:hAnsi="仿宋_GB2312" w:eastAsia="仿宋_GB2312"/>
          <w:sz w:val="32"/>
          <w:szCs w:val="32"/>
        </w:rPr>
        <w:t>医保定点医疗机构</w:t>
      </w:r>
      <w:r>
        <w:rPr>
          <w:rFonts w:hint="eastAsia" w:ascii="仿宋_GB2312" w:hAnsi="仿宋_GB2312" w:eastAsia="仿宋_GB2312"/>
          <w:kern w:val="0"/>
          <w:sz w:val="32"/>
          <w:szCs w:val="32"/>
          <w:lang w:eastAsia="zh-Hans" w:bidi="ar"/>
        </w:rPr>
        <w:t>相关科室主治医师以上</w:t>
      </w:r>
      <w:r>
        <w:rPr>
          <w:rFonts w:hint="eastAsia" w:ascii="仿宋_GB2312" w:hAnsi="Times New Roman" w:eastAsia="仿宋_GB2312"/>
          <w:kern w:val="0"/>
          <w:sz w:val="32"/>
          <w:szCs w:val="32"/>
          <w:lang w:eastAsia="zh-Hans" w:bidi="ar"/>
        </w:rPr>
        <w:t>(</w:t>
      </w:r>
      <w:r>
        <w:rPr>
          <w:rFonts w:hint="eastAsia" w:ascii="仿宋_GB2312" w:hAnsi="仿宋_GB2312" w:eastAsia="仿宋_GB2312"/>
          <w:kern w:val="0"/>
          <w:sz w:val="32"/>
          <w:szCs w:val="32"/>
          <w:lang w:eastAsia="zh-Hans" w:bidi="ar"/>
        </w:rPr>
        <w:t>含主治医师</w:t>
      </w:r>
      <w:r>
        <w:rPr>
          <w:rFonts w:hint="eastAsia" w:ascii="仿宋_GB2312" w:hAnsi="Times New Roman" w:eastAsia="仿宋_GB2312"/>
          <w:kern w:val="0"/>
          <w:sz w:val="32"/>
          <w:szCs w:val="32"/>
          <w:lang w:eastAsia="zh-Hans" w:bidi="ar"/>
        </w:rPr>
        <w:t>)</w:t>
      </w:r>
      <w:r>
        <w:rPr>
          <w:rFonts w:hint="eastAsia" w:ascii="仿宋_GB2312" w:hAnsi="仿宋_GB2312" w:eastAsia="仿宋_GB2312"/>
          <w:kern w:val="0"/>
          <w:sz w:val="32"/>
          <w:szCs w:val="32"/>
          <w:lang w:eastAsia="zh-Hans" w:bidi="ar"/>
        </w:rPr>
        <w:t>出具的治疗计划。</w:t>
      </w:r>
    </w:p>
    <w:p w14:paraId="73709CBC">
      <w:pPr>
        <w:overflowPunct w:val="0"/>
        <w:autoSpaceDE w:val="0"/>
        <w:autoSpaceDN w:val="0"/>
        <w:adjustRightInd w:val="0"/>
        <w:snapToGrid w:val="0"/>
        <w:spacing w:line="570" w:lineRule="exact"/>
        <w:ind w:firstLine="640" w:firstLineChars="200"/>
        <w:rPr>
          <w:rFonts w:ascii="仿宋_GB2312" w:hAnsi="Times New Roman" w:eastAsia="仿宋_GB2312"/>
          <w:bCs/>
          <w:sz w:val="32"/>
          <w:szCs w:val="32"/>
        </w:rPr>
      </w:pPr>
      <w:r>
        <w:rPr>
          <w:rFonts w:hint="eastAsia" w:ascii="楷体_GB2312" w:hAnsi="Times New Roman" w:eastAsia="楷体_GB2312"/>
          <w:bCs/>
          <w:sz w:val="32"/>
          <w:szCs w:val="32"/>
        </w:rPr>
        <w:t>（二）治疗指征（认定标准）</w:t>
      </w:r>
    </w:p>
    <w:p w14:paraId="50751D2D">
      <w:pPr>
        <w:pStyle w:val="16"/>
        <w:overflowPunct w:val="0"/>
        <w:autoSpaceDE w:val="0"/>
        <w:autoSpaceDN w:val="0"/>
        <w:adjustRightInd w:val="0"/>
        <w:snapToGrid w:val="0"/>
        <w:spacing w:line="570" w:lineRule="exact"/>
        <w:ind w:firstLine="0" w:firstLineChars="0"/>
        <w:rPr>
          <w:rFonts w:ascii="仿宋_GB2312" w:hAnsi="Times New Roman" w:eastAsia="仿宋_GB2312"/>
          <w:kern w:val="0"/>
          <w:sz w:val="32"/>
          <w:szCs w:val="32"/>
          <w:lang w:bidi="ar"/>
        </w:rPr>
      </w:pPr>
      <w:r>
        <w:rPr>
          <w:rFonts w:hint="eastAsia" w:ascii="仿宋_GB2312" w:hAnsi="Times New Roman" w:eastAsia="仿宋_GB2312"/>
          <w:bCs/>
          <w:sz w:val="32"/>
          <w:szCs w:val="32"/>
        </w:rPr>
        <w:t xml:space="preserve">    1.</w:t>
      </w:r>
      <w:r>
        <w:rPr>
          <w:rFonts w:hint="eastAsia" w:ascii="仿宋_GB2312" w:hAnsi="仿宋_GB2312" w:eastAsia="仿宋_GB2312"/>
          <w:kern w:val="0"/>
          <w:sz w:val="32"/>
          <w:szCs w:val="32"/>
          <w:lang w:eastAsia="zh-Hans" w:bidi="ar"/>
        </w:rPr>
        <w:t>经二级以上</w:t>
      </w:r>
      <w:r>
        <w:rPr>
          <w:rFonts w:hint="eastAsia" w:ascii="仿宋_GB2312" w:hAnsi="仿宋_GB2312" w:eastAsia="仿宋_GB2312"/>
          <w:kern w:val="0"/>
          <w:sz w:val="32"/>
          <w:szCs w:val="32"/>
          <w:lang w:bidi="ar"/>
        </w:rPr>
        <w:t>医保定点医疗机构</w:t>
      </w:r>
      <w:r>
        <w:rPr>
          <w:rFonts w:hint="eastAsia" w:ascii="仿宋_GB2312" w:hAnsi="仿宋_GB2312" w:eastAsia="仿宋_GB2312"/>
          <w:kern w:val="0"/>
          <w:sz w:val="32"/>
          <w:szCs w:val="32"/>
          <w:lang w:eastAsia="zh-Hans" w:bidi="ar"/>
        </w:rPr>
        <w:t>确诊的甲状腺功能</w:t>
      </w:r>
      <w:r>
        <w:rPr>
          <w:rFonts w:hint="eastAsia" w:ascii="仿宋_GB2312" w:hAnsi="仿宋_GB2312" w:eastAsia="仿宋_GB2312"/>
          <w:kern w:val="0"/>
          <w:sz w:val="32"/>
          <w:szCs w:val="32"/>
          <w:lang w:bidi="ar"/>
        </w:rPr>
        <w:t>减退</w:t>
      </w:r>
      <w:r>
        <w:rPr>
          <w:rFonts w:hint="eastAsia" w:ascii="仿宋_GB2312" w:hAnsi="仿宋_GB2312" w:eastAsia="仿宋_GB2312"/>
          <w:kern w:val="0"/>
          <w:sz w:val="32"/>
          <w:szCs w:val="32"/>
          <w:lang w:eastAsia="zh-Hans" w:bidi="ar"/>
        </w:rPr>
        <w:t>症</w:t>
      </w:r>
      <w:r>
        <w:rPr>
          <w:rFonts w:hint="eastAsia" w:ascii="仿宋_GB2312" w:hAnsi="Times New Roman" w:eastAsia="仿宋_GB2312"/>
          <w:kern w:val="0"/>
          <w:sz w:val="32"/>
          <w:szCs w:val="32"/>
          <w:lang w:eastAsia="zh-Hans" w:bidi="ar"/>
        </w:rPr>
        <w:t>,</w:t>
      </w:r>
      <w:r>
        <w:rPr>
          <w:rFonts w:hint="eastAsia" w:ascii="仿宋_GB2312" w:hAnsi="仿宋_GB2312" w:eastAsia="仿宋_GB2312"/>
          <w:kern w:val="0"/>
          <w:sz w:val="32"/>
          <w:szCs w:val="32"/>
          <w:lang w:eastAsia="zh-Hans" w:bidi="ar"/>
        </w:rPr>
        <w:t>需要在门诊长期治疗</w:t>
      </w:r>
      <w:r>
        <w:rPr>
          <w:rFonts w:hint="eastAsia" w:ascii="仿宋_GB2312" w:hAnsi="仿宋_GB2312" w:eastAsia="仿宋_GB2312"/>
          <w:kern w:val="0"/>
          <w:sz w:val="32"/>
          <w:szCs w:val="32"/>
          <w:lang w:bidi="ar"/>
        </w:rPr>
        <w:t>；</w:t>
      </w:r>
    </w:p>
    <w:p w14:paraId="6AF1D9CB">
      <w:pPr>
        <w:pStyle w:val="16"/>
        <w:overflowPunct w:val="0"/>
        <w:autoSpaceDE w:val="0"/>
        <w:autoSpaceDN w:val="0"/>
        <w:adjustRightInd w:val="0"/>
        <w:snapToGrid w:val="0"/>
        <w:spacing w:line="570" w:lineRule="exact"/>
        <w:ind w:firstLine="0" w:firstLineChars="0"/>
        <w:rPr>
          <w:rFonts w:ascii="仿宋_GB2312" w:hAnsi="Times New Roman" w:eastAsia="仿宋_GB2312"/>
          <w:kern w:val="0"/>
          <w:sz w:val="32"/>
          <w:szCs w:val="32"/>
        </w:rPr>
      </w:pPr>
      <w:r>
        <w:rPr>
          <w:rFonts w:hint="eastAsia" w:ascii="仿宋_GB2312" w:hAnsi="Times New Roman" w:eastAsia="仿宋_GB2312"/>
          <w:kern w:val="0"/>
          <w:sz w:val="32"/>
          <w:szCs w:val="32"/>
          <w:lang w:bidi="ar"/>
        </w:rPr>
        <w:t xml:space="preserve">    2.</w:t>
      </w:r>
      <w:r>
        <w:rPr>
          <w:rFonts w:hint="eastAsia" w:ascii="仿宋_GB2312" w:hAnsi="仿宋_GB2312" w:eastAsia="仿宋_GB2312"/>
          <w:kern w:val="0"/>
          <w:sz w:val="32"/>
          <w:szCs w:val="32"/>
          <w:lang w:eastAsia="zh-Hans" w:bidi="ar"/>
        </w:rPr>
        <w:t>除外口服药物引起的一过性甲减、妊娠期甲减（待分娩</w:t>
      </w:r>
      <w:r>
        <w:rPr>
          <w:rFonts w:hint="eastAsia" w:ascii="仿宋_GB2312" w:hAnsi="Times New Roman" w:eastAsia="仿宋_GB2312"/>
          <w:kern w:val="0"/>
          <w:sz w:val="32"/>
          <w:szCs w:val="32"/>
          <w:lang w:eastAsia="zh-Hans" w:bidi="ar"/>
        </w:rPr>
        <w:t xml:space="preserve"> 6 </w:t>
      </w:r>
      <w:r>
        <w:rPr>
          <w:rFonts w:hint="eastAsia" w:ascii="仿宋_GB2312" w:hAnsi="仿宋_GB2312" w:eastAsia="仿宋_GB2312"/>
          <w:kern w:val="0"/>
          <w:sz w:val="32"/>
          <w:szCs w:val="32"/>
          <w:lang w:eastAsia="zh-Hans" w:bidi="ar"/>
        </w:rPr>
        <w:t>周后重新评估甲状腺功能）、产后甲状腺炎、亚急性甲状腺炎</w:t>
      </w:r>
      <w:r>
        <w:rPr>
          <w:rFonts w:hint="eastAsia" w:ascii="仿宋_GB2312" w:hAnsi="仿宋_GB2312" w:eastAsia="仿宋_GB2312"/>
          <w:kern w:val="0"/>
          <w:sz w:val="32"/>
          <w:szCs w:val="32"/>
          <w:lang w:bidi="ar"/>
        </w:rPr>
        <w:t>。</w:t>
      </w:r>
    </w:p>
    <w:p w14:paraId="71DE4EC3">
      <w:pPr>
        <w:overflowPunct w:val="0"/>
        <w:autoSpaceDE w:val="0"/>
        <w:autoSpaceDN w:val="0"/>
        <w:adjustRightInd w:val="0"/>
        <w:snapToGrid w:val="0"/>
        <w:spacing w:line="570" w:lineRule="exact"/>
        <w:ind w:firstLine="640" w:firstLineChars="200"/>
        <w:rPr>
          <w:rFonts w:ascii="仿宋_GB2312" w:hAnsi="Times New Roman" w:eastAsia="仿宋_GB2312"/>
          <w:b/>
          <w:bCs/>
          <w:sz w:val="32"/>
          <w:szCs w:val="32"/>
        </w:rPr>
      </w:pPr>
      <w:r>
        <w:rPr>
          <w:rFonts w:hint="eastAsia" w:ascii="楷体_GB2312" w:hAnsi="Times New Roman" w:eastAsia="楷体_GB2312"/>
          <w:bCs/>
          <w:sz w:val="32"/>
          <w:szCs w:val="32"/>
        </w:rPr>
        <w:t>（三）门诊诊疗范围</w:t>
      </w:r>
    </w:p>
    <w:p w14:paraId="68634D06">
      <w:pPr>
        <w:pStyle w:val="15"/>
        <w:overflowPunct w:val="0"/>
        <w:autoSpaceDE w:val="0"/>
        <w:autoSpaceDN w:val="0"/>
        <w:adjustRightInd w:val="0"/>
        <w:snapToGrid w:val="0"/>
        <w:spacing w:line="570" w:lineRule="exact"/>
        <w:ind w:firstLine="0" w:firstLineChars="0"/>
        <w:rPr>
          <w:rFonts w:ascii="仿宋_GB2312" w:hAnsi="Times New Roman" w:eastAsia="仿宋_GB2312"/>
          <w:kern w:val="0"/>
          <w:sz w:val="32"/>
          <w:szCs w:val="32"/>
          <w:lang w:eastAsia="zh-Hans" w:bidi="ar"/>
        </w:rPr>
      </w:pPr>
      <w:r>
        <w:rPr>
          <w:rFonts w:hint="eastAsia" w:ascii="仿宋_GB2312" w:hAnsi="Times New Roman" w:eastAsia="仿宋_GB2312"/>
          <w:kern w:val="0"/>
          <w:sz w:val="32"/>
          <w:szCs w:val="32"/>
        </w:rPr>
        <w:t xml:space="preserve">    1.</w:t>
      </w:r>
      <w:r>
        <w:rPr>
          <w:rFonts w:hint="eastAsia" w:ascii="仿宋_GB2312" w:hAnsi="仿宋_GB2312" w:eastAsia="仿宋_GB2312"/>
          <w:kern w:val="0"/>
          <w:sz w:val="32"/>
          <w:szCs w:val="32"/>
          <w:lang w:bidi="ar"/>
        </w:rPr>
        <w:t>需要长期替代的</w:t>
      </w:r>
      <w:r>
        <w:rPr>
          <w:rFonts w:hint="eastAsia" w:ascii="仿宋_GB2312" w:hAnsi="仿宋_GB2312" w:eastAsia="仿宋_GB2312"/>
          <w:kern w:val="0"/>
          <w:sz w:val="32"/>
          <w:szCs w:val="32"/>
          <w:lang w:eastAsia="zh-Hans" w:bidi="ar"/>
        </w:rPr>
        <w:t>药物治疗</w:t>
      </w:r>
      <w:r>
        <w:rPr>
          <w:rFonts w:hint="eastAsia" w:ascii="仿宋_GB2312" w:hAnsi="Times New Roman" w:eastAsia="仿宋_GB2312"/>
          <w:kern w:val="0"/>
          <w:sz w:val="32"/>
          <w:szCs w:val="32"/>
          <w:lang w:eastAsia="zh-Hans" w:bidi="ar"/>
        </w:rPr>
        <w:t>;</w:t>
      </w:r>
    </w:p>
    <w:p w14:paraId="43F35FA7">
      <w:pPr>
        <w:pStyle w:val="15"/>
        <w:overflowPunct w:val="0"/>
        <w:autoSpaceDE w:val="0"/>
        <w:autoSpaceDN w:val="0"/>
        <w:adjustRightInd w:val="0"/>
        <w:snapToGrid w:val="0"/>
        <w:spacing w:line="570" w:lineRule="exact"/>
        <w:ind w:firstLine="0" w:firstLineChars="0"/>
        <w:rPr>
          <w:rFonts w:ascii="仿宋_GB2312" w:hAnsi="Times New Roman" w:eastAsia="仿宋_GB2312"/>
          <w:kern w:val="0"/>
          <w:sz w:val="32"/>
          <w:szCs w:val="32"/>
        </w:rPr>
      </w:pPr>
      <w:r>
        <w:rPr>
          <w:rFonts w:hint="eastAsia" w:ascii="仿宋_GB2312" w:hAnsi="Times New Roman" w:eastAsia="仿宋_GB2312"/>
          <w:kern w:val="0"/>
          <w:sz w:val="32"/>
          <w:szCs w:val="32"/>
          <w:lang w:bidi="ar"/>
        </w:rPr>
        <w:t xml:space="preserve">    2.</w:t>
      </w:r>
      <w:r>
        <w:rPr>
          <w:rFonts w:hint="eastAsia" w:ascii="仿宋_GB2312" w:hAnsi="仿宋_GB2312" w:eastAsia="仿宋_GB2312"/>
          <w:kern w:val="0"/>
          <w:sz w:val="32"/>
          <w:szCs w:val="32"/>
          <w:lang w:eastAsia="zh-Hans" w:bidi="ar"/>
        </w:rPr>
        <w:t>甲状腺功能</w:t>
      </w:r>
      <w:r>
        <w:rPr>
          <w:rFonts w:hint="eastAsia" w:ascii="仿宋_GB2312" w:hAnsi="仿宋_GB2312" w:eastAsia="仿宋_GB2312"/>
          <w:kern w:val="0"/>
          <w:sz w:val="32"/>
          <w:szCs w:val="32"/>
          <w:lang w:bidi="ar"/>
        </w:rPr>
        <w:t>减退</w:t>
      </w:r>
      <w:r>
        <w:rPr>
          <w:rFonts w:hint="eastAsia" w:ascii="仿宋_GB2312" w:hAnsi="仿宋_GB2312" w:eastAsia="仿宋_GB2312"/>
          <w:kern w:val="0"/>
          <w:sz w:val="32"/>
          <w:szCs w:val="32"/>
          <w:lang w:eastAsia="zh-Hans" w:bidi="ar"/>
        </w:rPr>
        <w:t>症治疗期间的相关检查。</w:t>
      </w:r>
    </w:p>
    <w:p w14:paraId="35125A11">
      <w:pPr>
        <w:overflowPunct w:val="0"/>
        <w:autoSpaceDE w:val="0"/>
        <w:autoSpaceDN w:val="0"/>
        <w:adjustRightInd w:val="0"/>
        <w:snapToGrid w:val="0"/>
        <w:spacing w:line="570" w:lineRule="exact"/>
        <w:ind w:firstLine="640" w:firstLineChars="200"/>
        <w:rPr>
          <w:rFonts w:ascii="楷体_GB2312" w:hAnsi="Times New Roman" w:eastAsia="楷体_GB2312"/>
          <w:bCs/>
          <w:sz w:val="32"/>
          <w:szCs w:val="32"/>
        </w:rPr>
      </w:pPr>
      <w:r>
        <w:rPr>
          <w:rFonts w:hint="eastAsia" w:ascii="楷体_GB2312" w:hAnsi="Times New Roman" w:eastAsia="楷体_GB2312"/>
          <w:bCs/>
          <w:sz w:val="32"/>
          <w:szCs w:val="32"/>
        </w:rPr>
        <w:t>（四）复审期限</w:t>
      </w:r>
    </w:p>
    <w:p w14:paraId="6D1B3E9B">
      <w:pPr>
        <w:pStyle w:val="12"/>
        <w:widowControl w:val="0"/>
        <w:overflowPunct w:val="0"/>
        <w:autoSpaceDE w:val="0"/>
        <w:autoSpaceDN w:val="0"/>
        <w:adjustRightInd w:val="0"/>
        <w:snapToGrid w:val="0"/>
        <w:spacing w:line="570" w:lineRule="exact"/>
        <w:ind w:firstLine="0"/>
        <w:jc w:val="both"/>
        <w:rPr>
          <w:rFonts w:ascii="仿宋_GB2312" w:hAnsi="Times New Roman" w:eastAsia="仿宋_GB2312"/>
          <w:bCs/>
          <w:sz w:val="32"/>
          <w:szCs w:val="32"/>
        </w:rPr>
      </w:pPr>
      <w:r>
        <w:rPr>
          <w:rFonts w:hint="eastAsia" w:ascii="仿宋_GB2312" w:hAnsi="Times New Roman" w:eastAsia="仿宋_GB2312"/>
          <w:bCs/>
          <w:sz w:val="32"/>
          <w:szCs w:val="32"/>
        </w:rPr>
        <w:t xml:space="preserve">    </w:t>
      </w:r>
      <w:r>
        <w:rPr>
          <w:rFonts w:hint="eastAsia" w:ascii="仿宋_GB2312" w:hAnsi="仿宋_GB2312" w:eastAsia="仿宋_GB2312"/>
          <w:bCs/>
          <w:sz w:val="32"/>
          <w:szCs w:val="32"/>
        </w:rPr>
        <w:t>长期。</w:t>
      </w:r>
    </w:p>
    <w:p w14:paraId="4A300DF7">
      <w:pPr>
        <w:overflowPunct w:val="0"/>
        <w:autoSpaceDE w:val="0"/>
        <w:autoSpaceDN w:val="0"/>
        <w:adjustRightInd w:val="0"/>
        <w:snapToGrid w:val="0"/>
        <w:spacing w:line="570" w:lineRule="exact"/>
        <w:ind w:firstLine="640" w:firstLineChars="200"/>
        <w:rPr>
          <w:rFonts w:ascii="黑体" w:hAnsi="黑体" w:eastAsia="黑体"/>
          <w:sz w:val="32"/>
          <w:szCs w:val="32"/>
        </w:rPr>
      </w:pPr>
      <w:r>
        <w:rPr>
          <w:rFonts w:hint="eastAsia" w:ascii="黑体" w:hAnsi="黑体" w:eastAsia="黑体"/>
          <w:kern w:val="0"/>
          <w:sz w:val="32"/>
          <w:szCs w:val="32"/>
          <w:lang w:bidi="ar"/>
        </w:rPr>
        <w:t>六、苯丙酮尿症</w:t>
      </w:r>
    </w:p>
    <w:p w14:paraId="771A2798">
      <w:pPr>
        <w:overflowPunct w:val="0"/>
        <w:autoSpaceDE w:val="0"/>
        <w:autoSpaceDN w:val="0"/>
        <w:adjustRightInd w:val="0"/>
        <w:snapToGrid w:val="0"/>
        <w:spacing w:line="570" w:lineRule="exact"/>
        <w:ind w:firstLine="640" w:firstLineChars="200"/>
        <w:rPr>
          <w:rFonts w:ascii="楷体_GB2312" w:hAnsi="Times New Roman" w:eastAsia="楷体_GB2312"/>
          <w:bCs/>
          <w:sz w:val="32"/>
          <w:szCs w:val="32"/>
        </w:rPr>
      </w:pPr>
      <w:r>
        <w:rPr>
          <w:rFonts w:hint="eastAsia" w:ascii="楷体_GB2312" w:hAnsi="Times New Roman" w:eastAsia="楷体_GB2312"/>
          <w:bCs/>
          <w:sz w:val="32"/>
          <w:szCs w:val="32"/>
        </w:rPr>
        <w:t>（一）申报资料</w:t>
      </w:r>
    </w:p>
    <w:p w14:paraId="064AB1AD">
      <w:pPr>
        <w:overflowPunct w:val="0"/>
        <w:autoSpaceDE w:val="0"/>
        <w:autoSpaceDN w:val="0"/>
        <w:adjustRightInd w:val="0"/>
        <w:snapToGrid w:val="0"/>
        <w:spacing w:line="570" w:lineRule="exact"/>
        <w:ind w:firstLine="640" w:firstLineChars="200"/>
        <w:rPr>
          <w:rFonts w:ascii="仿宋_GB2312" w:hAnsi="Times New Roman" w:eastAsia="仿宋_GB2312"/>
          <w:sz w:val="32"/>
          <w:szCs w:val="32"/>
        </w:rPr>
      </w:pPr>
      <w:r>
        <w:rPr>
          <w:rFonts w:hint="eastAsia" w:ascii="仿宋_GB2312" w:hAnsi="Times New Roman" w:eastAsia="仿宋_GB2312"/>
          <w:sz w:val="32"/>
          <w:szCs w:val="32"/>
        </w:rPr>
        <w:t>1.</w:t>
      </w:r>
      <w:r>
        <w:rPr>
          <w:rFonts w:hint="eastAsia" w:ascii="仿宋_GB2312" w:hAnsi="仿宋_GB2312" w:eastAsia="仿宋_GB2312"/>
          <w:sz w:val="32"/>
          <w:szCs w:val="32"/>
        </w:rPr>
        <w:t>须提供患者本人医保定点医疗机构的体检资料；</w:t>
      </w:r>
    </w:p>
    <w:p w14:paraId="140E7EC2">
      <w:pPr>
        <w:overflowPunct w:val="0"/>
        <w:autoSpaceDE w:val="0"/>
        <w:autoSpaceDN w:val="0"/>
        <w:adjustRightInd w:val="0"/>
        <w:snapToGrid w:val="0"/>
        <w:spacing w:line="570" w:lineRule="exact"/>
        <w:ind w:firstLine="645"/>
        <w:rPr>
          <w:rFonts w:ascii="仿宋_GB2312" w:hAnsi="Times New Roman" w:eastAsia="仿宋_GB2312"/>
          <w:sz w:val="32"/>
          <w:szCs w:val="32"/>
        </w:rPr>
      </w:pPr>
      <w:r>
        <w:rPr>
          <w:rFonts w:hint="eastAsia" w:ascii="仿宋_GB2312" w:hAnsi="Times New Roman" w:eastAsia="仿宋_GB2312"/>
          <w:kern w:val="0"/>
          <w:sz w:val="32"/>
          <w:szCs w:val="32"/>
        </w:rPr>
        <w:t>2.</w:t>
      </w:r>
      <w:r>
        <w:rPr>
          <w:rFonts w:hint="eastAsia" w:ascii="仿宋_GB2312" w:hAnsi="仿宋_GB2312" w:eastAsia="仿宋_GB2312"/>
          <w:sz w:val="32"/>
          <w:szCs w:val="32"/>
        </w:rPr>
        <w:t>相关的临床资料，包括病史、症状、体征等；</w:t>
      </w:r>
    </w:p>
    <w:p w14:paraId="1D8B9391">
      <w:pPr>
        <w:overflowPunct w:val="0"/>
        <w:autoSpaceDE w:val="0"/>
        <w:autoSpaceDN w:val="0"/>
        <w:adjustRightInd w:val="0"/>
        <w:snapToGrid w:val="0"/>
        <w:spacing w:line="570" w:lineRule="exact"/>
        <w:ind w:firstLine="645"/>
        <w:rPr>
          <w:rFonts w:ascii="仿宋_GB2312" w:hAnsi="Times New Roman" w:eastAsia="仿宋_GB2312"/>
          <w:sz w:val="32"/>
          <w:szCs w:val="32"/>
        </w:rPr>
      </w:pPr>
      <w:r>
        <w:rPr>
          <w:rFonts w:hint="eastAsia" w:ascii="仿宋_GB2312" w:hAnsi="Times New Roman" w:eastAsia="仿宋_GB2312"/>
          <w:sz w:val="32"/>
          <w:szCs w:val="32"/>
        </w:rPr>
        <w:t>3.</w:t>
      </w:r>
      <w:r>
        <w:rPr>
          <w:rFonts w:hint="eastAsia" w:ascii="仿宋_GB2312" w:hAnsi="仿宋_GB2312" w:eastAsia="仿宋_GB2312"/>
          <w:sz w:val="32"/>
          <w:szCs w:val="32"/>
        </w:rPr>
        <w:t>相关的辅助检查资料：①血液中苯丙氨酸（</w:t>
      </w:r>
      <w:r>
        <w:rPr>
          <w:rFonts w:hint="eastAsia" w:ascii="仿宋_GB2312" w:hAnsi="Times New Roman" w:eastAsia="仿宋_GB2312"/>
          <w:sz w:val="32"/>
          <w:szCs w:val="32"/>
        </w:rPr>
        <w:t>Phe</w:t>
      </w:r>
      <w:r>
        <w:rPr>
          <w:rFonts w:hint="eastAsia" w:ascii="仿宋_GB2312" w:hAnsi="仿宋_GB2312" w:eastAsia="仿宋_GB2312"/>
          <w:sz w:val="32"/>
          <w:szCs w:val="32"/>
        </w:rPr>
        <w:t>）浓度持续＞</w:t>
      </w:r>
      <w:r>
        <w:rPr>
          <w:rFonts w:hint="eastAsia" w:ascii="仿宋_GB2312" w:hAnsi="Times New Roman" w:eastAsia="仿宋_GB2312"/>
          <w:sz w:val="32"/>
          <w:szCs w:val="32"/>
        </w:rPr>
        <w:t>120 umol/L(2 mg/dL)</w:t>
      </w:r>
      <w:r>
        <w:rPr>
          <w:rFonts w:hint="eastAsia" w:ascii="仿宋_GB2312" w:hAnsi="仿宋_GB2312" w:eastAsia="仿宋_GB2312"/>
          <w:sz w:val="32"/>
          <w:szCs w:val="32"/>
        </w:rPr>
        <w:t>；②苯丙氨酸（</w:t>
      </w:r>
      <w:r>
        <w:rPr>
          <w:rFonts w:hint="eastAsia" w:ascii="仿宋_GB2312" w:hAnsi="Times New Roman" w:eastAsia="仿宋_GB2312"/>
          <w:sz w:val="32"/>
          <w:szCs w:val="32"/>
        </w:rPr>
        <w:t>Phe</w:t>
      </w:r>
      <w:r>
        <w:rPr>
          <w:rFonts w:hint="eastAsia" w:ascii="仿宋_GB2312" w:hAnsi="仿宋_GB2312" w:eastAsia="仿宋_GB2312"/>
          <w:sz w:val="32"/>
          <w:szCs w:val="32"/>
        </w:rPr>
        <w:t>）</w:t>
      </w:r>
      <w:r>
        <w:rPr>
          <w:rFonts w:hint="eastAsia" w:ascii="仿宋_GB2312" w:hAnsi="Times New Roman" w:eastAsia="仿宋_GB2312"/>
          <w:sz w:val="32"/>
          <w:szCs w:val="32"/>
        </w:rPr>
        <w:t>/</w:t>
      </w:r>
      <w:r>
        <w:rPr>
          <w:rFonts w:hint="eastAsia" w:ascii="仿宋_GB2312" w:hAnsi="仿宋_GB2312" w:eastAsia="仿宋_GB2312"/>
          <w:sz w:val="32"/>
          <w:szCs w:val="32"/>
        </w:rPr>
        <w:t>酪氨酸（</w:t>
      </w:r>
      <w:r>
        <w:rPr>
          <w:rFonts w:hint="eastAsia" w:ascii="仿宋_GB2312" w:hAnsi="Times New Roman" w:eastAsia="仿宋_GB2312"/>
          <w:sz w:val="32"/>
          <w:szCs w:val="32"/>
        </w:rPr>
        <w:t>Tyr</w:t>
      </w:r>
      <w:r>
        <w:rPr>
          <w:rFonts w:hint="eastAsia" w:ascii="仿宋_GB2312" w:hAnsi="仿宋_GB2312" w:eastAsia="仿宋_GB2312"/>
          <w:sz w:val="32"/>
          <w:szCs w:val="32"/>
        </w:rPr>
        <w:t>）比值</w:t>
      </w:r>
      <w:r>
        <w:rPr>
          <w:rFonts w:hint="eastAsia" w:ascii="仿宋_GB2312" w:hAnsi="Times New Roman" w:eastAsia="仿宋_GB2312"/>
          <w:sz w:val="32"/>
          <w:szCs w:val="32"/>
        </w:rPr>
        <w:t>&gt; 2</w:t>
      </w:r>
      <w:r>
        <w:rPr>
          <w:rFonts w:hint="eastAsia" w:ascii="仿宋_GB2312" w:hAnsi="仿宋_GB2312" w:eastAsia="仿宋_GB2312"/>
          <w:sz w:val="32"/>
          <w:szCs w:val="32"/>
        </w:rPr>
        <w:t>；③基因检测发现两个</w:t>
      </w:r>
      <w:r>
        <w:rPr>
          <w:rFonts w:hint="eastAsia" w:ascii="仿宋_GB2312" w:hAnsi="Times New Roman" w:eastAsia="仿宋_GB2312"/>
          <w:sz w:val="32"/>
          <w:szCs w:val="32"/>
        </w:rPr>
        <w:t>PAH</w:t>
      </w:r>
      <w:r>
        <w:rPr>
          <w:rFonts w:hint="eastAsia" w:ascii="仿宋_GB2312" w:hAnsi="仿宋_GB2312" w:eastAsia="仿宋_GB2312"/>
          <w:sz w:val="32"/>
          <w:szCs w:val="32"/>
        </w:rPr>
        <w:t>等位基因均存在致病变异；</w:t>
      </w:r>
    </w:p>
    <w:p w14:paraId="7C7CC9D8">
      <w:pPr>
        <w:overflowPunct w:val="0"/>
        <w:autoSpaceDE w:val="0"/>
        <w:autoSpaceDN w:val="0"/>
        <w:adjustRightInd w:val="0"/>
        <w:snapToGrid w:val="0"/>
        <w:spacing w:line="570" w:lineRule="exact"/>
        <w:ind w:firstLine="640" w:firstLineChars="200"/>
        <w:rPr>
          <w:rFonts w:ascii="仿宋_GB2312" w:hAnsi="Times New Roman" w:eastAsia="仿宋_GB2312"/>
          <w:sz w:val="32"/>
          <w:szCs w:val="32"/>
        </w:rPr>
      </w:pPr>
      <w:r>
        <w:rPr>
          <w:rFonts w:hint="eastAsia" w:ascii="仿宋_GB2312" w:hAnsi="Times New Roman" w:eastAsia="仿宋_GB2312"/>
          <w:sz w:val="32"/>
          <w:szCs w:val="32"/>
        </w:rPr>
        <w:t>4.</w:t>
      </w:r>
      <w:r>
        <w:rPr>
          <w:rFonts w:hint="eastAsia" w:ascii="仿宋_GB2312" w:hAnsi="仿宋_GB2312" w:eastAsia="仿宋_GB2312"/>
          <w:sz w:val="32"/>
          <w:szCs w:val="32"/>
        </w:rPr>
        <w:t>医保定点医疗机构专科主治医师以上（含主治医师）签名的诊疗计划。</w:t>
      </w:r>
    </w:p>
    <w:p w14:paraId="24C0315E">
      <w:pPr>
        <w:overflowPunct w:val="0"/>
        <w:autoSpaceDE w:val="0"/>
        <w:autoSpaceDN w:val="0"/>
        <w:adjustRightInd w:val="0"/>
        <w:snapToGrid w:val="0"/>
        <w:spacing w:line="570" w:lineRule="exact"/>
        <w:ind w:firstLine="640" w:firstLineChars="200"/>
        <w:rPr>
          <w:rFonts w:ascii="楷体_GB2312" w:hAnsi="Times New Roman" w:eastAsia="楷体_GB2312"/>
          <w:bCs/>
          <w:sz w:val="32"/>
          <w:szCs w:val="32"/>
        </w:rPr>
      </w:pPr>
      <w:r>
        <w:rPr>
          <w:rFonts w:hint="eastAsia" w:ascii="楷体_GB2312" w:hAnsi="Times New Roman" w:eastAsia="楷体_GB2312"/>
          <w:bCs/>
          <w:sz w:val="32"/>
          <w:szCs w:val="32"/>
        </w:rPr>
        <w:t>（二）治疗指征（认定标准）</w:t>
      </w:r>
    </w:p>
    <w:p w14:paraId="57E6856B">
      <w:pPr>
        <w:overflowPunct w:val="0"/>
        <w:autoSpaceDE w:val="0"/>
        <w:autoSpaceDN w:val="0"/>
        <w:adjustRightInd w:val="0"/>
        <w:snapToGrid w:val="0"/>
        <w:spacing w:line="570" w:lineRule="exact"/>
        <w:rPr>
          <w:rFonts w:ascii="仿宋_GB2312" w:hAnsi="Times New Roman" w:eastAsia="仿宋_GB2312"/>
          <w:kern w:val="0"/>
          <w:sz w:val="32"/>
          <w:szCs w:val="32"/>
        </w:rPr>
      </w:pPr>
      <w:r>
        <w:rPr>
          <w:rFonts w:hint="eastAsia" w:ascii="仿宋_GB2312" w:hAnsi="Times New Roman" w:eastAsia="仿宋_GB2312"/>
          <w:kern w:val="0"/>
          <w:sz w:val="32"/>
          <w:szCs w:val="32"/>
        </w:rPr>
        <w:t xml:space="preserve">    </w:t>
      </w:r>
      <w:r>
        <w:rPr>
          <w:rFonts w:hint="eastAsia" w:ascii="仿宋_GB2312" w:hAnsi="仿宋_GB2312" w:eastAsia="仿宋_GB2312"/>
          <w:kern w:val="0"/>
          <w:sz w:val="32"/>
          <w:szCs w:val="32"/>
          <w:lang w:bidi="ar"/>
        </w:rPr>
        <w:t>所有确诊患儿均为门诊治疗。</w:t>
      </w:r>
    </w:p>
    <w:p w14:paraId="2E36BDE4">
      <w:pPr>
        <w:overflowPunct w:val="0"/>
        <w:autoSpaceDE w:val="0"/>
        <w:autoSpaceDN w:val="0"/>
        <w:adjustRightInd w:val="0"/>
        <w:snapToGrid w:val="0"/>
        <w:spacing w:line="570" w:lineRule="exact"/>
        <w:ind w:firstLine="640" w:firstLineChars="200"/>
        <w:rPr>
          <w:rFonts w:ascii="楷体_GB2312" w:hAnsi="Times New Roman" w:eastAsia="楷体_GB2312"/>
          <w:bCs/>
          <w:sz w:val="32"/>
          <w:szCs w:val="32"/>
        </w:rPr>
      </w:pPr>
      <w:r>
        <w:rPr>
          <w:rFonts w:hint="eastAsia" w:ascii="楷体_GB2312" w:hAnsi="Times New Roman" w:eastAsia="楷体_GB2312"/>
          <w:bCs/>
          <w:sz w:val="32"/>
          <w:szCs w:val="32"/>
        </w:rPr>
        <w:t>（三）门诊诊疗范围</w:t>
      </w:r>
    </w:p>
    <w:p w14:paraId="3B70E9E3">
      <w:pPr>
        <w:overflowPunct w:val="0"/>
        <w:autoSpaceDE w:val="0"/>
        <w:autoSpaceDN w:val="0"/>
        <w:adjustRightInd w:val="0"/>
        <w:snapToGrid w:val="0"/>
        <w:spacing w:line="570" w:lineRule="exact"/>
        <w:rPr>
          <w:rFonts w:ascii="仿宋_GB2312" w:hAnsi="Times New Roman" w:eastAsia="仿宋_GB2312"/>
          <w:kern w:val="0"/>
          <w:sz w:val="32"/>
          <w:szCs w:val="32"/>
        </w:rPr>
      </w:pPr>
      <w:r>
        <w:rPr>
          <w:rFonts w:hint="eastAsia" w:ascii="仿宋_GB2312" w:hAnsi="Times New Roman" w:eastAsia="仿宋_GB2312"/>
          <w:kern w:val="0"/>
          <w:sz w:val="32"/>
          <w:szCs w:val="32"/>
        </w:rPr>
        <w:t xml:space="preserve">    1.包括因治疗疾病所行检查、替代食品、四氢叶酸和神经递质类药物；</w:t>
      </w:r>
    </w:p>
    <w:p w14:paraId="21D88C39">
      <w:pPr>
        <w:overflowPunct w:val="0"/>
        <w:autoSpaceDE w:val="0"/>
        <w:autoSpaceDN w:val="0"/>
        <w:adjustRightInd w:val="0"/>
        <w:snapToGrid w:val="0"/>
        <w:spacing w:line="570" w:lineRule="exact"/>
        <w:ind w:firstLine="640" w:firstLineChars="200"/>
        <w:rPr>
          <w:rFonts w:ascii="仿宋_GB2312" w:hAnsi="Times New Roman" w:eastAsia="仿宋_GB2312"/>
          <w:kern w:val="0"/>
          <w:sz w:val="32"/>
          <w:szCs w:val="32"/>
        </w:rPr>
      </w:pPr>
      <w:r>
        <w:rPr>
          <w:rFonts w:hint="eastAsia" w:ascii="仿宋_GB2312" w:hAnsi="Times New Roman" w:eastAsia="仿宋_GB2312"/>
          <w:kern w:val="0"/>
          <w:sz w:val="32"/>
          <w:szCs w:val="32"/>
        </w:rPr>
        <w:t>2.替代食品种类包括无苯丙氨酸奶粉（配方粉、营养粉）、米粉、米、面和蛋白粉等。</w:t>
      </w:r>
    </w:p>
    <w:p w14:paraId="4C44F723">
      <w:pPr>
        <w:overflowPunct w:val="0"/>
        <w:autoSpaceDE w:val="0"/>
        <w:autoSpaceDN w:val="0"/>
        <w:adjustRightInd w:val="0"/>
        <w:snapToGrid w:val="0"/>
        <w:spacing w:line="570" w:lineRule="exact"/>
        <w:ind w:firstLine="630" w:firstLineChars="197"/>
        <w:rPr>
          <w:rFonts w:ascii="楷体_GB2312" w:hAnsi="Times New Roman" w:eastAsia="楷体_GB2312"/>
          <w:bCs/>
          <w:sz w:val="32"/>
          <w:szCs w:val="32"/>
        </w:rPr>
      </w:pPr>
      <w:r>
        <w:rPr>
          <w:rFonts w:hint="eastAsia" w:ascii="楷体_GB2312" w:hAnsi="Times New Roman" w:eastAsia="楷体_GB2312"/>
          <w:bCs/>
          <w:sz w:val="32"/>
          <w:szCs w:val="32"/>
        </w:rPr>
        <w:t>（四）复审期限</w:t>
      </w:r>
    </w:p>
    <w:p w14:paraId="3B8DEC3E">
      <w:pPr>
        <w:overflowPunct w:val="0"/>
        <w:autoSpaceDE w:val="0"/>
        <w:autoSpaceDN w:val="0"/>
        <w:adjustRightInd w:val="0"/>
        <w:snapToGrid w:val="0"/>
        <w:spacing w:line="570" w:lineRule="exact"/>
        <w:ind w:firstLine="640"/>
        <w:rPr>
          <w:rFonts w:ascii="仿宋_GB2312" w:hAnsi="Times New Roman" w:eastAsia="仿宋_GB2312"/>
          <w:sz w:val="32"/>
          <w:szCs w:val="32"/>
        </w:rPr>
      </w:pPr>
      <w:r>
        <w:rPr>
          <w:rFonts w:hint="eastAsia" w:ascii="仿宋_GB2312" w:eastAsia="仿宋_GB2312"/>
          <w:bCs/>
          <w:sz w:val="32"/>
          <w:szCs w:val="32"/>
        </w:rPr>
        <w:t>长期</w:t>
      </w:r>
      <w:r>
        <w:rPr>
          <w:rFonts w:hint="eastAsia" w:ascii="仿宋_GB2312" w:hAnsi="仿宋_GB2312" w:eastAsia="仿宋_GB2312"/>
          <w:bCs/>
          <w:sz w:val="32"/>
          <w:szCs w:val="32"/>
        </w:rPr>
        <w:t>。</w:t>
      </w:r>
    </w:p>
    <w:p w14:paraId="740E2240">
      <w:pPr>
        <w:overflowPunct w:val="0"/>
        <w:autoSpaceDE w:val="0"/>
        <w:autoSpaceDN w:val="0"/>
        <w:adjustRightInd w:val="0"/>
        <w:snapToGrid w:val="0"/>
        <w:spacing w:line="570" w:lineRule="exact"/>
        <w:rPr>
          <w:rFonts w:ascii="黑体" w:hAnsi="黑体" w:eastAsia="黑体"/>
          <w:sz w:val="32"/>
          <w:szCs w:val="32"/>
        </w:rPr>
      </w:pPr>
      <w:r>
        <w:rPr>
          <w:rFonts w:hint="eastAsia" w:ascii="仿宋_GB2312" w:hAnsi="Times New Roman" w:eastAsia="仿宋_GB2312"/>
          <w:kern w:val="0"/>
          <w:sz w:val="32"/>
          <w:szCs w:val="32"/>
        </w:rPr>
        <w:t xml:space="preserve">   </w:t>
      </w:r>
      <w:r>
        <w:rPr>
          <w:rFonts w:hint="eastAsia" w:ascii="黑体" w:hAnsi="黑体" w:eastAsia="黑体"/>
          <w:kern w:val="0"/>
          <w:sz w:val="32"/>
          <w:szCs w:val="32"/>
        </w:rPr>
        <w:t xml:space="preserve"> 七、</w:t>
      </w:r>
      <w:r>
        <w:rPr>
          <w:rFonts w:hint="eastAsia" w:ascii="黑体" w:hAnsi="黑体" w:eastAsia="黑体"/>
          <w:kern w:val="0"/>
          <w:sz w:val="32"/>
          <w:szCs w:val="32"/>
          <w:lang w:eastAsia="zh-Hans" w:bidi="ar"/>
        </w:rPr>
        <w:t>克汀病</w:t>
      </w:r>
    </w:p>
    <w:p w14:paraId="799C2042">
      <w:pPr>
        <w:overflowPunct w:val="0"/>
        <w:autoSpaceDE w:val="0"/>
        <w:autoSpaceDN w:val="0"/>
        <w:adjustRightInd w:val="0"/>
        <w:snapToGrid w:val="0"/>
        <w:spacing w:line="570" w:lineRule="exact"/>
        <w:ind w:firstLine="630" w:firstLineChars="197"/>
        <w:rPr>
          <w:rFonts w:ascii="楷体_GB2312" w:hAnsi="Times New Roman" w:eastAsia="楷体_GB2312"/>
          <w:bCs/>
          <w:sz w:val="32"/>
          <w:szCs w:val="32"/>
        </w:rPr>
      </w:pPr>
      <w:r>
        <w:rPr>
          <w:rFonts w:hint="eastAsia" w:ascii="楷体_GB2312" w:hAnsi="Times New Roman" w:eastAsia="楷体_GB2312"/>
          <w:bCs/>
          <w:sz w:val="32"/>
          <w:szCs w:val="32"/>
        </w:rPr>
        <w:t>（一）申报资料</w:t>
      </w:r>
    </w:p>
    <w:p w14:paraId="0FA0EC71">
      <w:pPr>
        <w:overflowPunct w:val="0"/>
        <w:autoSpaceDE w:val="0"/>
        <w:autoSpaceDN w:val="0"/>
        <w:adjustRightInd w:val="0"/>
        <w:snapToGrid w:val="0"/>
        <w:spacing w:line="570" w:lineRule="exact"/>
        <w:ind w:firstLine="640" w:firstLineChars="200"/>
        <w:rPr>
          <w:rFonts w:ascii="仿宋_GB2312" w:hAnsi="Times New Roman" w:eastAsia="仿宋_GB2312"/>
          <w:sz w:val="32"/>
          <w:szCs w:val="32"/>
        </w:rPr>
      </w:pPr>
      <w:r>
        <w:rPr>
          <w:rFonts w:hint="eastAsia" w:ascii="仿宋_GB2312" w:hAnsi="Times New Roman" w:eastAsia="仿宋_GB2312"/>
          <w:kern w:val="0"/>
          <w:sz w:val="32"/>
          <w:szCs w:val="32"/>
        </w:rPr>
        <w:t>1.</w:t>
      </w:r>
      <w:r>
        <w:rPr>
          <w:rFonts w:hint="eastAsia" w:ascii="仿宋_GB2312" w:hAnsi="仿宋_GB2312" w:eastAsia="仿宋_GB2312"/>
          <w:sz w:val="32"/>
          <w:szCs w:val="32"/>
        </w:rPr>
        <w:t>须提供患者本人近半年医保定点医疗机构的体检资料；</w:t>
      </w:r>
    </w:p>
    <w:p w14:paraId="643C6026">
      <w:pPr>
        <w:overflowPunct w:val="0"/>
        <w:autoSpaceDE w:val="0"/>
        <w:autoSpaceDN w:val="0"/>
        <w:adjustRightInd w:val="0"/>
        <w:snapToGrid w:val="0"/>
        <w:spacing w:line="570" w:lineRule="exact"/>
        <w:ind w:firstLine="640" w:firstLineChars="200"/>
        <w:rPr>
          <w:rFonts w:ascii="仿宋_GB2312" w:hAnsi="Times New Roman" w:eastAsia="仿宋_GB2312"/>
          <w:sz w:val="32"/>
          <w:szCs w:val="32"/>
        </w:rPr>
      </w:pPr>
      <w:r>
        <w:rPr>
          <w:rFonts w:hint="eastAsia" w:ascii="仿宋_GB2312" w:hAnsi="Times New Roman" w:eastAsia="仿宋_GB2312"/>
          <w:sz w:val="32"/>
          <w:szCs w:val="32"/>
        </w:rPr>
        <w:t>2.</w:t>
      </w:r>
      <w:r>
        <w:rPr>
          <w:rFonts w:hint="eastAsia" w:ascii="仿宋_GB2312" w:hAnsi="仿宋_GB2312" w:eastAsia="仿宋_GB2312"/>
          <w:sz w:val="32"/>
          <w:szCs w:val="32"/>
        </w:rPr>
        <w:t>相关的临床资料，包括病史、症状、体征等；</w:t>
      </w:r>
    </w:p>
    <w:p w14:paraId="7A276D64">
      <w:pPr>
        <w:overflowPunct w:val="0"/>
        <w:autoSpaceDE w:val="0"/>
        <w:autoSpaceDN w:val="0"/>
        <w:adjustRightInd w:val="0"/>
        <w:snapToGrid w:val="0"/>
        <w:spacing w:line="570" w:lineRule="exact"/>
        <w:ind w:firstLine="640" w:firstLineChars="200"/>
        <w:rPr>
          <w:rFonts w:ascii="仿宋_GB2312" w:hAnsi="Times New Roman" w:eastAsia="仿宋_GB2312"/>
          <w:sz w:val="32"/>
          <w:szCs w:val="32"/>
        </w:rPr>
      </w:pPr>
      <w:r>
        <w:rPr>
          <w:rFonts w:hint="eastAsia" w:ascii="仿宋_GB2312" w:hAnsi="Times New Roman" w:eastAsia="仿宋_GB2312"/>
          <w:sz w:val="32"/>
          <w:szCs w:val="32"/>
        </w:rPr>
        <w:t>3.</w:t>
      </w:r>
      <w:r>
        <w:rPr>
          <w:rFonts w:hint="eastAsia" w:ascii="仿宋_GB2312" w:hAnsi="仿宋_GB2312" w:eastAsia="仿宋_GB2312"/>
          <w:sz w:val="32"/>
          <w:szCs w:val="32"/>
        </w:rPr>
        <w:t>相关的辅助检查资料；</w:t>
      </w:r>
    </w:p>
    <w:p w14:paraId="559A2995">
      <w:pPr>
        <w:overflowPunct w:val="0"/>
        <w:autoSpaceDE w:val="0"/>
        <w:autoSpaceDN w:val="0"/>
        <w:adjustRightInd w:val="0"/>
        <w:snapToGrid w:val="0"/>
        <w:spacing w:line="570" w:lineRule="exact"/>
        <w:ind w:firstLine="640" w:firstLineChars="200"/>
        <w:rPr>
          <w:rFonts w:ascii="仿宋_GB2312" w:hAnsi="Times New Roman" w:eastAsia="仿宋_GB2312"/>
          <w:kern w:val="0"/>
          <w:sz w:val="32"/>
          <w:szCs w:val="32"/>
        </w:rPr>
      </w:pPr>
      <w:r>
        <w:rPr>
          <w:rFonts w:hint="eastAsia" w:ascii="仿宋_GB2312" w:hAnsi="Times New Roman" w:eastAsia="仿宋_GB2312"/>
          <w:sz w:val="32"/>
          <w:szCs w:val="32"/>
        </w:rPr>
        <w:t>4.</w:t>
      </w:r>
      <w:r>
        <w:rPr>
          <w:rFonts w:hint="eastAsia" w:ascii="仿宋_GB2312" w:hAnsi="仿宋_GB2312" w:eastAsia="仿宋_GB2312"/>
          <w:sz w:val="32"/>
          <w:szCs w:val="32"/>
        </w:rPr>
        <w:t>医保定点医疗机构专科主治医师以上（含主治医师）签名的诊疗计划。</w:t>
      </w:r>
    </w:p>
    <w:p w14:paraId="59914723">
      <w:pPr>
        <w:overflowPunct w:val="0"/>
        <w:autoSpaceDE w:val="0"/>
        <w:autoSpaceDN w:val="0"/>
        <w:adjustRightInd w:val="0"/>
        <w:snapToGrid w:val="0"/>
        <w:spacing w:line="570" w:lineRule="exact"/>
        <w:ind w:firstLine="630" w:firstLineChars="197"/>
        <w:rPr>
          <w:rFonts w:ascii="楷体_GB2312" w:hAnsi="Times New Roman" w:eastAsia="楷体_GB2312"/>
          <w:bCs/>
          <w:sz w:val="32"/>
          <w:szCs w:val="32"/>
        </w:rPr>
      </w:pPr>
      <w:r>
        <w:rPr>
          <w:rFonts w:hint="eastAsia" w:ascii="楷体_GB2312" w:hAnsi="Times New Roman" w:eastAsia="楷体_GB2312"/>
          <w:bCs/>
          <w:sz w:val="32"/>
          <w:szCs w:val="32"/>
        </w:rPr>
        <w:t>（二）治疗指征（认定标准）</w:t>
      </w:r>
    </w:p>
    <w:p w14:paraId="0D0CAF4A">
      <w:pPr>
        <w:overflowPunct w:val="0"/>
        <w:autoSpaceDE w:val="0"/>
        <w:autoSpaceDN w:val="0"/>
        <w:adjustRightInd w:val="0"/>
        <w:snapToGrid w:val="0"/>
        <w:spacing w:line="570" w:lineRule="exact"/>
        <w:ind w:firstLine="630" w:firstLineChars="197"/>
        <w:rPr>
          <w:rFonts w:ascii="仿宋_GB2312" w:hAnsi="Times New Roman" w:eastAsia="仿宋_GB2312"/>
          <w:kern w:val="0"/>
          <w:sz w:val="32"/>
          <w:szCs w:val="32"/>
          <w:lang w:eastAsia="zh-Hans" w:bidi="ar"/>
        </w:rPr>
      </w:pPr>
      <w:r>
        <w:rPr>
          <w:rFonts w:hint="eastAsia" w:ascii="仿宋_GB2312" w:hAnsi="仿宋_GB2312" w:eastAsia="仿宋_GB2312"/>
          <w:kern w:val="0"/>
          <w:sz w:val="32"/>
          <w:szCs w:val="32"/>
          <w:lang w:bidi="ar"/>
        </w:rPr>
        <w:t>符合下列</w:t>
      </w:r>
      <w:r>
        <w:rPr>
          <w:rFonts w:hint="eastAsia" w:ascii="仿宋_GB2312" w:hAnsi="Times New Roman" w:eastAsia="仿宋_GB2312"/>
          <w:kern w:val="0"/>
          <w:sz w:val="32"/>
          <w:szCs w:val="32"/>
          <w:lang w:bidi="ar"/>
        </w:rPr>
        <w:t xml:space="preserve"> 1</w:t>
      </w:r>
      <w:r>
        <w:rPr>
          <w:rFonts w:hint="eastAsia" w:ascii="仿宋_GB2312" w:hAnsi="仿宋_GB2312" w:eastAsia="仿宋_GB2312"/>
          <w:kern w:val="0"/>
          <w:sz w:val="32"/>
          <w:szCs w:val="32"/>
          <w:lang w:eastAsia="zh-Hans" w:bidi="ar"/>
        </w:rPr>
        <w:t>项，伴或不伴有</w:t>
      </w:r>
      <w:r>
        <w:rPr>
          <w:rFonts w:hint="eastAsia" w:ascii="仿宋_GB2312" w:hAnsi="Times New Roman" w:eastAsia="仿宋_GB2312"/>
          <w:kern w:val="0"/>
          <w:sz w:val="32"/>
          <w:szCs w:val="32"/>
          <w:lang w:eastAsia="zh-Hans" w:bidi="ar"/>
        </w:rPr>
        <w:t>2</w:t>
      </w:r>
      <w:r>
        <w:rPr>
          <w:rFonts w:hint="eastAsia" w:ascii="仿宋_GB2312" w:hAnsi="仿宋_GB2312" w:eastAsia="仿宋_GB2312"/>
          <w:kern w:val="0"/>
          <w:sz w:val="32"/>
          <w:szCs w:val="32"/>
          <w:lang w:eastAsia="zh-Hans" w:bidi="ar"/>
        </w:rPr>
        <w:t>、</w:t>
      </w:r>
      <w:r>
        <w:rPr>
          <w:rFonts w:hint="eastAsia" w:ascii="仿宋_GB2312" w:hAnsi="Times New Roman" w:eastAsia="仿宋_GB2312"/>
          <w:kern w:val="0"/>
          <w:sz w:val="32"/>
          <w:szCs w:val="32"/>
          <w:lang w:eastAsia="zh-Hans" w:bidi="ar"/>
        </w:rPr>
        <w:t>3</w:t>
      </w:r>
      <w:r>
        <w:rPr>
          <w:rFonts w:hint="eastAsia" w:ascii="仿宋_GB2312" w:hAnsi="仿宋_GB2312" w:eastAsia="仿宋_GB2312"/>
          <w:kern w:val="0"/>
          <w:sz w:val="32"/>
          <w:szCs w:val="32"/>
          <w:lang w:eastAsia="zh-Hans" w:bidi="ar"/>
        </w:rPr>
        <w:t>项</w:t>
      </w:r>
      <w:r>
        <w:rPr>
          <w:rFonts w:hint="eastAsia" w:ascii="仿宋_GB2312" w:hAnsi="仿宋_GB2312" w:eastAsia="仿宋_GB2312"/>
          <w:kern w:val="0"/>
          <w:sz w:val="32"/>
          <w:szCs w:val="32"/>
          <w:lang w:bidi="ar"/>
        </w:rPr>
        <w:t>：</w:t>
      </w:r>
    </w:p>
    <w:p w14:paraId="4547F5FB">
      <w:pPr>
        <w:overflowPunct w:val="0"/>
        <w:autoSpaceDE w:val="0"/>
        <w:autoSpaceDN w:val="0"/>
        <w:adjustRightInd w:val="0"/>
        <w:snapToGrid w:val="0"/>
        <w:spacing w:line="570" w:lineRule="exact"/>
        <w:ind w:firstLine="640" w:firstLineChars="200"/>
        <w:rPr>
          <w:rFonts w:ascii="仿宋_GB2312" w:hAnsi="Times New Roman" w:eastAsia="仿宋_GB2312"/>
          <w:kern w:val="0"/>
          <w:sz w:val="32"/>
          <w:szCs w:val="32"/>
          <w:lang w:eastAsia="zh-Hans" w:bidi="ar"/>
        </w:rPr>
      </w:pPr>
      <w:r>
        <w:rPr>
          <w:rFonts w:hint="eastAsia" w:ascii="仿宋_GB2312" w:hAnsi="Times New Roman" w:eastAsia="仿宋_GB2312"/>
          <w:kern w:val="0"/>
          <w:sz w:val="32"/>
          <w:szCs w:val="32"/>
          <w:lang w:bidi="ar"/>
        </w:rPr>
        <w:t>1.</w:t>
      </w:r>
      <w:r>
        <w:rPr>
          <w:rFonts w:hint="eastAsia" w:ascii="仿宋_GB2312" w:hAnsi="仿宋_GB2312" w:eastAsia="仿宋_GB2312"/>
          <w:kern w:val="0"/>
          <w:sz w:val="32"/>
          <w:szCs w:val="32"/>
          <w:lang w:eastAsia="zh-Hans" w:bidi="ar"/>
        </w:rPr>
        <w:t>患者出生和居住在碘缺乏地区，同时具有不同程度的精神发育迟滞，</w:t>
      </w:r>
      <w:r>
        <w:rPr>
          <w:rFonts w:hint="eastAsia" w:ascii="仿宋_GB2312" w:hAnsi="Times New Roman" w:eastAsia="仿宋_GB2312"/>
          <w:kern w:val="0"/>
          <w:sz w:val="32"/>
          <w:szCs w:val="32"/>
          <w:lang w:eastAsia="zh-Hans" w:bidi="ar"/>
        </w:rPr>
        <w:t>IQ≤54</w:t>
      </w:r>
      <w:r>
        <w:rPr>
          <w:rFonts w:hint="eastAsia" w:ascii="仿宋_GB2312" w:hAnsi="仿宋_GB2312" w:eastAsia="仿宋_GB2312"/>
          <w:kern w:val="0"/>
          <w:sz w:val="32"/>
          <w:szCs w:val="32"/>
          <w:lang w:eastAsia="zh-Hans" w:bidi="ar"/>
        </w:rPr>
        <w:t>；</w:t>
      </w:r>
    </w:p>
    <w:p w14:paraId="3312FB68">
      <w:pPr>
        <w:overflowPunct w:val="0"/>
        <w:autoSpaceDE w:val="0"/>
        <w:autoSpaceDN w:val="0"/>
        <w:adjustRightInd w:val="0"/>
        <w:snapToGrid w:val="0"/>
        <w:spacing w:line="570" w:lineRule="exact"/>
        <w:ind w:firstLine="640" w:firstLineChars="200"/>
        <w:rPr>
          <w:rFonts w:ascii="仿宋_GB2312" w:hAnsi="Times New Roman" w:eastAsia="仿宋_GB2312"/>
          <w:kern w:val="0"/>
          <w:sz w:val="32"/>
          <w:szCs w:val="32"/>
          <w:lang w:eastAsia="zh-Hans" w:bidi="ar"/>
        </w:rPr>
      </w:pPr>
      <w:r>
        <w:rPr>
          <w:rFonts w:hint="eastAsia" w:ascii="仿宋_GB2312" w:hAnsi="Times New Roman" w:eastAsia="仿宋_GB2312"/>
          <w:kern w:val="0"/>
          <w:sz w:val="32"/>
          <w:szCs w:val="32"/>
          <w:lang w:bidi="ar"/>
        </w:rPr>
        <w:t>2.</w:t>
      </w:r>
      <w:r>
        <w:rPr>
          <w:rFonts w:hint="eastAsia" w:ascii="仿宋_GB2312" w:hAnsi="仿宋_GB2312" w:eastAsia="仿宋_GB2312"/>
          <w:kern w:val="0"/>
          <w:sz w:val="32"/>
          <w:szCs w:val="32"/>
          <w:lang w:eastAsia="zh-Hans" w:bidi="ar"/>
        </w:rPr>
        <w:t>神经系统障碍：运动神经障碍、不同程度的听力障碍、不同程度的言语障碍；</w:t>
      </w:r>
    </w:p>
    <w:p w14:paraId="411DAE4E">
      <w:pPr>
        <w:overflowPunct w:val="0"/>
        <w:autoSpaceDE w:val="0"/>
        <w:autoSpaceDN w:val="0"/>
        <w:adjustRightInd w:val="0"/>
        <w:snapToGrid w:val="0"/>
        <w:spacing w:line="570" w:lineRule="exact"/>
        <w:ind w:firstLine="640" w:firstLineChars="200"/>
        <w:rPr>
          <w:rFonts w:ascii="仿宋_GB2312" w:hAnsi="Times New Roman" w:eastAsia="仿宋_GB2312"/>
          <w:kern w:val="0"/>
          <w:sz w:val="32"/>
          <w:szCs w:val="32"/>
        </w:rPr>
      </w:pPr>
      <w:r>
        <w:rPr>
          <w:rFonts w:hint="eastAsia" w:ascii="仿宋_GB2312" w:hAnsi="Times New Roman" w:eastAsia="仿宋_GB2312"/>
          <w:kern w:val="0"/>
          <w:sz w:val="32"/>
          <w:szCs w:val="32"/>
          <w:lang w:bidi="ar"/>
        </w:rPr>
        <w:t>3.</w:t>
      </w:r>
      <w:r>
        <w:rPr>
          <w:rFonts w:hint="eastAsia" w:ascii="仿宋_GB2312" w:hAnsi="仿宋_GB2312" w:eastAsia="仿宋_GB2312"/>
          <w:kern w:val="0"/>
          <w:sz w:val="32"/>
          <w:szCs w:val="32"/>
          <w:lang w:eastAsia="zh-Hans" w:bidi="ar"/>
        </w:rPr>
        <w:t>甲状腺功能障碍：不同程度的体格发育障碍，不同程度的克汀病形象（傻笑、眼距宽、鼻梁塌，</w:t>
      </w:r>
      <w:r>
        <w:rPr>
          <w:rFonts w:hint="eastAsia" w:ascii="仿宋_GB2312" w:hAnsi="仿宋_GB2312" w:eastAsia="仿宋_GB2312"/>
          <w:kern w:val="0"/>
          <w:sz w:val="32"/>
          <w:szCs w:val="32"/>
          <w:lang w:bidi="ar"/>
        </w:rPr>
        <w:t>常伴有软耳</w:t>
      </w:r>
      <w:r>
        <w:rPr>
          <w:rFonts w:hint="eastAsia" w:ascii="仿宋_GB2312" w:hAnsi="仿宋_GB2312" w:eastAsia="仿宋_GB2312"/>
          <w:kern w:val="0"/>
          <w:sz w:val="32"/>
          <w:szCs w:val="32"/>
          <w:lang w:eastAsia="zh-Hans" w:bidi="ar"/>
        </w:rPr>
        <w:t>、腹膨隆和脐疝等），不同程度的甲减（粘液性水肿等），实验室检查提示甲状腺激素水平减低，</w:t>
      </w:r>
      <w:r>
        <w:rPr>
          <w:rFonts w:hint="eastAsia" w:ascii="仿宋_GB2312" w:hAnsi="Times New Roman" w:eastAsia="仿宋_GB2312"/>
          <w:kern w:val="0"/>
          <w:sz w:val="32"/>
          <w:szCs w:val="32"/>
          <w:lang w:eastAsia="zh-Hans" w:bidi="ar"/>
        </w:rPr>
        <w:t>X</w:t>
      </w:r>
      <w:r>
        <w:rPr>
          <w:rFonts w:hint="eastAsia" w:ascii="仿宋_GB2312" w:hAnsi="仿宋_GB2312" w:eastAsia="仿宋_GB2312"/>
          <w:kern w:val="0"/>
          <w:sz w:val="32"/>
          <w:szCs w:val="32"/>
          <w:lang w:eastAsia="zh-Hans" w:bidi="ar"/>
        </w:rPr>
        <w:t>线提示骨龄落后和骨骺愈合延迟。</w:t>
      </w:r>
    </w:p>
    <w:p w14:paraId="32CAA81D">
      <w:pPr>
        <w:overflowPunct w:val="0"/>
        <w:autoSpaceDE w:val="0"/>
        <w:autoSpaceDN w:val="0"/>
        <w:adjustRightInd w:val="0"/>
        <w:snapToGrid w:val="0"/>
        <w:spacing w:line="570" w:lineRule="exact"/>
        <w:ind w:firstLine="630" w:firstLineChars="197"/>
        <w:rPr>
          <w:rFonts w:ascii="楷体_GB2312" w:hAnsi="Times New Roman" w:eastAsia="楷体_GB2312"/>
          <w:bCs/>
          <w:sz w:val="32"/>
          <w:szCs w:val="32"/>
        </w:rPr>
      </w:pPr>
      <w:r>
        <w:rPr>
          <w:rFonts w:hint="eastAsia" w:ascii="楷体_GB2312" w:hAnsi="Times New Roman" w:eastAsia="楷体_GB2312"/>
          <w:bCs/>
          <w:sz w:val="32"/>
          <w:szCs w:val="32"/>
        </w:rPr>
        <w:t>（三）门诊诊疗范围</w:t>
      </w:r>
    </w:p>
    <w:p w14:paraId="29D96140">
      <w:pPr>
        <w:overflowPunct w:val="0"/>
        <w:autoSpaceDE w:val="0"/>
        <w:autoSpaceDN w:val="0"/>
        <w:adjustRightInd w:val="0"/>
        <w:snapToGrid w:val="0"/>
        <w:spacing w:line="570" w:lineRule="exact"/>
        <w:rPr>
          <w:rFonts w:ascii="仿宋_GB2312" w:hAnsi="Times New Roman" w:eastAsia="仿宋_GB2312"/>
          <w:kern w:val="0"/>
          <w:sz w:val="32"/>
          <w:szCs w:val="32"/>
        </w:rPr>
      </w:pPr>
      <w:r>
        <w:rPr>
          <w:rFonts w:hint="eastAsia" w:ascii="仿宋_GB2312" w:hAnsi="Times New Roman" w:eastAsia="仿宋_GB2312"/>
          <w:sz w:val="32"/>
          <w:szCs w:val="32"/>
        </w:rPr>
        <w:t xml:space="preserve">   </w:t>
      </w:r>
      <w:r>
        <w:rPr>
          <w:rFonts w:hint="eastAsia" w:ascii="仿宋_GB2312" w:hAnsi="Times New Roman" w:eastAsia="仿宋_GB2312"/>
          <w:kern w:val="0"/>
          <w:sz w:val="32"/>
          <w:szCs w:val="32"/>
        </w:rPr>
        <w:t xml:space="preserve"> 1.</w:t>
      </w:r>
      <w:r>
        <w:rPr>
          <w:rFonts w:hint="eastAsia" w:ascii="仿宋_GB2312" w:hAnsi="仿宋_GB2312" w:eastAsia="仿宋_GB2312"/>
          <w:kern w:val="0"/>
          <w:sz w:val="32"/>
          <w:szCs w:val="32"/>
        </w:rPr>
        <w:t>抗心力衰竭药物治疗，包括利尿剂、</w:t>
      </w:r>
      <w:r>
        <w:rPr>
          <w:rFonts w:hint="eastAsia" w:ascii="仿宋_GB2312" w:hAnsi="Times New Roman" w:eastAsia="仿宋_GB2312"/>
          <w:kern w:val="0"/>
          <w:sz w:val="32"/>
          <w:szCs w:val="32"/>
        </w:rPr>
        <w:t>β</w:t>
      </w:r>
      <w:r>
        <w:rPr>
          <w:rFonts w:hint="eastAsia" w:ascii="仿宋_GB2312" w:hAnsi="仿宋_GB2312" w:eastAsia="仿宋_GB2312"/>
          <w:kern w:val="0"/>
          <w:sz w:val="32"/>
          <w:szCs w:val="32"/>
        </w:rPr>
        <w:t>阻滞剂、</w:t>
      </w:r>
      <w:r>
        <w:rPr>
          <w:rFonts w:hint="eastAsia" w:ascii="仿宋_GB2312" w:hAnsi="Times New Roman" w:eastAsia="仿宋_GB2312"/>
          <w:kern w:val="0"/>
          <w:sz w:val="32"/>
          <w:szCs w:val="32"/>
        </w:rPr>
        <w:t>ACEI</w:t>
      </w:r>
      <w:r>
        <w:rPr>
          <w:rFonts w:hint="eastAsia" w:ascii="仿宋_GB2312" w:hAnsi="仿宋_GB2312" w:eastAsia="仿宋_GB2312"/>
          <w:kern w:val="0"/>
          <w:sz w:val="32"/>
          <w:szCs w:val="32"/>
        </w:rPr>
        <w:t>，醛固酮拮抗剂等药物；</w:t>
      </w:r>
    </w:p>
    <w:p w14:paraId="5BB9C3B5">
      <w:pPr>
        <w:overflowPunct w:val="0"/>
        <w:autoSpaceDE w:val="0"/>
        <w:autoSpaceDN w:val="0"/>
        <w:adjustRightInd w:val="0"/>
        <w:snapToGrid w:val="0"/>
        <w:spacing w:line="570" w:lineRule="exact"/>
        <w:rPr>
          <w:rFonts w:ascii="仿宋_GB2312" w:hAnsi="Times New Roman" w:eastAsia="仿宋_GB2312"/>
          <w:kern w:val="0"/>
          <w:sz w:val="32"/>
          <w:szCs w:val="32"/>
        </w:rPr>
      </w:pPr>
      <w:r>
        <w:rPr>
          <w:rFonts w:hint="eastAsia" w:ascii="仿宋_GB2312" w:hAnsi="Times New Roman" w:eastAsia="仿宋_GB2312"/>
          <w:kern w:val="0"/>
          <w:sz w:val="32"/>
          <w:szCs w:val="32"/>
        </w:rPr>
        <w:t xml:space="preserve">    2.</w:t>
      </w:r>
      <w:r>
        <w:rPr>
          <w:rFonts w:hint="eastAsia" w:ascii="仿宋_GB2312" w:hAnsi="仿宋_GB2312" w:eastAsia="仿宋_GB2312"/>
          <w:kern w:val="0"/>
          <w:sz w:val="32"/>
          <w:szCs w:val="32"/>
        </w:rPr>
        <w:t>抗心律失常药物治疗；</w:t>
      </w:r>
    </w:p>
    <w:p w14:paraId="24B19B9C">
      <w:pPr>
        <w:overflowPunct w:val="0"/>
        <w:autoSpaceDE w:val="0"/>
        <w:autoSpaceDN w:val="0"/>
        <w:adjustRightInd w:val="0"/>
        <w:snapToGrid w:val="0"/>
        <w:spacing w:line="570" w:lineRule="exact"/>
        <w:rPr>
          <w:rFonts w:ascii="仿宋_GB2312" w:hAnsi="Times New Roman" w:eastAsia="仿宋_GB2312"/>
          <w:kern w:val="0"/>
          <w:sz w:val="32"/>
          <w:szCs w:val="32"/>
        </w:rPr>
      </w:pPr>
      <w:r>
        <w:rPr>
          <w:rFonts w:hint="eastAsia" w:ascii="仿宋_GB2312" w:hAnsi="Times New Roman" w:eastAsia="仿宋_GB2312"/>
          <w:kern w:val="0"/>
          <w:sz w:val="32"/>
          <w:szCs w:val="32"/>
        </w:rPr>
        <w:t xml:space="preserve">    3.</w:t>
      </w:r>
      <w:r>
        <w:rPr>
          <w:rFonts w:hint="eastAsia" w:ascii="仿宋_GB2312" w:hAnsi="仿宋_GB2312" w:eastAsia="仿宋_GB2312"/>
          <w:kern w:val="0"/>
          <w:sz w:val="32"/>
          <w:szCs w:val="32"/>
        </w:rPr>
        <w:t>抗血小板及抗凝治疗；</w:t>
      </w:r>
    </w:p>
    <w:p w14:paraId="12BF0F7C">
      <w:pPr>
        <w:overflowPunct w:val="0"/>
        <w:autoSpaceDE w:val="0"/>
        <w:autoSpaceDN w:val="0"/>
        <w:adjustRightInd w:val="0"/>
        <w:snapToGrid w:val="0"/>
        <w:spacing w:line="570" w:lineRule="exact"/>
        <w:rPr>
          <w:rFonts w:ascii="仿宋_GB2312" w:hAnsi="Times New Roman" w:eastAsia="仿宋_GB2312"/>
          <w:kern w:val="0"/>
          <w:sz w:val="32"/>
          <w:szCs w:val="32"/>
        </w:rPr>
      </w:pPr>
      <w:r>
        <w:rPr>
          <w:rFonts w:hint="eastAsia" w:ascii="仿宋_GB2312" w:hAnsi="Times New Roman" w:eastAsia="仿宋_GB2312"/>
          <w:kern w:val="0"/>
          <w:sz w:val="32"/>
          <w:szCs w:val="32"/>
        </w:rPr>
        <w:t xml:space="preserve">    4.</w:t>
      </w:r>
      <w:r>
        <w:rPr>
          <w:rFonts w:hint="eastAsia" w:ascii="仿宋_GB2312" w:hAnsi="仿宋_GB2312" w:eastAsia="仿宋_GB2312"/>
          <w:kern w:val="0"/>
          <w:sz w:val="32"/>
          <w:szCs w:val="32"/>
        </w:rPr>
        <w:t>治疗期间及治疗前后的相关检查。</w:t>
      </w:r>
    </w:p>
    <w:p w14:paraId="53D7CD98">
      <w:pPr>
        <w:overflowPunct w:val="0"/>
        <w:autoSpaceDE w:val="0"/>
        <w:autoSpaceDN w:val="0"/>
        <w:adjustRightInd w:val="0"/>
        <w:snapToGrid w:val="0"/>
        <w:spacing w:line="570" w:lineRule="exact"/>
        <w:ind w:firstLine="630" w:firstLineChars="197"/>
        <w:rPr>
          <w:rFonts w:ascii="楷体_GB2312" w:hAnsi="Times New Roman" w:eastAsia="楷体_GB2312"/>
          <w:bCs/>
          <w:sz w:val="32"/>
          <w:szCs w:val="32"/>
        </w:rPr>
      </w:pPr>
      <w:r>
        <w:rPr>
          <w:rFonts w:hint="eastAsia" w:ascii="楷体_GB2312" w:hAnsi="Times New Roman" w:eastAsia="楷体_GB2312"/>
          <w:bCs/>
          <w:sz w:val="32"/>
          <w:szCs w:val="32"/>
        </w:rPr>
        <w:t>（四）复审期限</w:t>
      </w:r>
    </w:p>
    <w:p w14:paraId="6573FDD9">
      <w:pPr>
        <w:overflowPunct w:val="0"/>
        <w:autoSpaceDE w:val="0"/>
        <w:autoSpaceDN w:val="0"/>
        <w:adjustRightInd w:val="0"/>
        <w:snapToGrid w:val="0"/>
        <w:spacing w:line="570" w:lineRule="exact"/>
        <w:ind w:firstLine="640"/>
        <w:rPr>
          <w:rFonts w:ascii="仿宋_GB2312" w:hAnsi="Times New Roman" w:eastAsia="仿宋_GB2312"/>
          <w:sz w:val="32"/>
          <w:szCs w:val="32"/>
        </w:rPr>
      </w:pPr>
      <w:r>
        <w:rPr>
          <w:rFonts w:hint="eastAsia" w:ascii="仿宋_GB2312" w:hAnsi="仿宋_GB2312" w:eastAsia="仿宋_GB2312"/>
          <w:bCs/>
          <w:sz w:val="32"/>
          <w:szCs w:val="32"/>
        </w:rPr>
        <w:t>长期。</w:t>
      </w:r>
    </w:p>
    <w:p w14:paraId="1A79F193">
      <w:pPr>
        <w:overflowPunct w:val="0"/>
        <w:autoSpaceDE w:val="0"/>
        <w:autoSpaceDN w:val="0"/>
        <w:adjustRightInd w:val="0"/>
        <w:snapToGrid w:val="0"/>
        <w:spacing w:line="570" w:lineRule="exact"/>
        <w:rPr>
          <w:rFonts w:ascii="黑体" w:hAnsi="黑体" w:eastAsia="黑体"/>
          <w:sz w:val="32"/>
          <w:szCs w:val="32"/>
        </w:rPr>
      </w:pPr>
      <w:r>
        <w:rPr>
          <w:rFonts w:hint="eastAsia" w:ascii="仿宋_GB2312" w:hAnsi="Times New Roman" w:eastAsia="仿宋_GB2312"/>
          <w:sz w:val="32"/>
          <w:szCs w:val="32"/>
        </w:rPr>
        <w:t xml:space="preserve">  </w:t>
      </w:r>
      <w:r>
        <w:rPr>
          <w:rFonts w:hint="eastAsia" w:ascii="黑体" w:hAnsi="黑体" w:eastAsia="黑体"/>
          <w:sz w:val="32"/>
          <w:szCs w:val="32"/>
        </w:rPr>
        <w:t xml:space="preserve">  八、慢性活动性肝炎</w:t>
      </w:r>
    </w:p>
    <w:p w14:paraId="652CCA54">
      <w:pPr>
        <w:overflowPunct w:val="0"/>
        <w:autoSpaceDE w:val="0"/>
        <w:autoSpaceDN w:val="0"/>
        <w:adjustRightInd w:val="0"/>
        <w:snapToGrid w:val="0"/>
        <w:spacing w:line="570" w:lineRule="exact"/>
        <w:ind w:firstLine="630" w:firstLineChars="197"/>
        <w:rPr>
          <w:rFonts w:ascii="楷体_GB2312" w:hAnsi="Times New Roman" w:eastAsia="楷体_GB2312"/>
          <w:bCs/>
          <w:sz w:val="32"/>
          <w:szCs w:val="32"/>
        </w:rPr>
      </w:pPr>
      <w:r>
        <w:rPr>
          <w:rFonts w:hint="eastAsia" w:ascii="楷体_GB2312" w:hAnsi="Times New Roman" w:eastAsia="楷体_GB2312"/>
          <w:bCs/>
          <w:sz w:val="32"/>
          <w:szCs w:val="32"/>
        </w:rPr>
        <w:t>（一）申报资料</w:t>
      </w:r>
    </w:p>
    <w:p w14:paraId="672EEA06">
      <w:pPr>
        <w:overflowPunct w:val="0"/>
        <w:autoSpaceDE w:val="0"/>
        <w:autoSpaceDN w:val="0"/>
        <w:adjustRightInd w:val="0"/>
        <w:snapToGrid w:val="0"/>
        <w:spacing w:line="570" w:lineRule="exact"/>
        <w:rPr>
          <w:rFonts w:ascii="仿宋_GB2312" w:hAnsi="Times New Roman" w:eastAsia="仿宋_GB2312"/>
          <w:kern w:val="0"/>
          <w:sz w:val="32"/>
          <w:szCs w:val="32"/>
        </w:rPr>
      </w:pPr>
      <w:r>
        <w:rPr>
          <w:rFonts w:hint="eastAsia" w:ascii="仿宋_GB2312" w:hAnsi="Times New Roman" w:eastAsia="仿宋_GB2312"/>
          <w:kern w:val="0"/>
          <w:sz w:val="32"/>
          <w:szCs w:val="32"/>
        </w:rPr>
        <w:t xml:space="preserve">    1.</w:t>
      </w:r>
      <w:r>
        <w:rPr>
          <w:rFonts w:hint="eastAsia" w:ascii="仿宋_GB2312" w:hAnsi="仿宋_GB2312" w:eastAsia="仿宋_GB2312"/>
          <w:kern w:val="0"/>
          <w:sz w:val="32"/>
          <w:szCs w:val="32"/>
        </w:rPr>
        <w:t>须提供患者本人近半年的与所申请病种相符合的住院病历或医保定点医疗机构的体检资料</w:t>
      </w:r>
      <w:r>
        <w:rPr>
          <w:rFonts w:hint="eastAsia" w:ascii="仿宋_GB2312" w:hAnsi="Times New Roman" w:eastAsia="仿宋_GB2312"/>
          <w:kern w:val="0"/>
          <w:sz w:val="32"/>
          <w:szCs w:val="32"/>
        </w:rPr>
        <w:t>;</w:t>
      </w:r>
    </w:p>
    <w:p w14:paraId="65F35F69">
      <w:pPr>
        <w:overflowPunct w:val="0"/>
        <w:autoSpaceDE w:val="0"/>
        <w:autoSpaceDN w:val="0"/>
        <w:adjustRightInd w:val="0"/>
        <w:snapToGrid w:val="0"/>
        <w:spacing w:line="570" w:lineRule="exact"/>
        <w:rPr>
          <w:rFonts w:ascii="仿宋_GB2312" w:hAnsi="Times New Roman" w:eastAsia="仿宋_GB2312"/>
          <w:kern w:val="0"/>
          <w:sz w:val="32"/>
          <w:szCs w:val="32"/>
        </w:rPr>
      </w:pPr>
      <w:r>
        <w:rPr>
          <w:rFonts w:hint="eastAsia" w:ascii="仿宋_GB2312" w:hAnsi="Times New Roman" w:eastAsia="仿宋_GB2312"/>
          <w:kern w:val="0"/>
          <w:sz w:val="32"/>
          <w:szCs w:val="32"/>
        </w:rPr>
        <w:t xml:space="preserve">    2.</w:t>
      </w:r>
      <w:r>
        <w:rPr>
          <w:rFonts w:hint="eastAsia" w:ascii="仿宋_GB2312" w:hAnsi="仿宋_GB2312" w:eastAsia="仿宋_GB2312"/>
          <w:kern w:val="0"/>
          <w:sz w:val="32"/>
          <w:szCs w:val="32"/>
        </w:rPr>
        <w:t>相关病史、症状、体征等</w:t>
      </w:r>
      <w:r>
        <w:rPr>
          <w:rFonts w:hint="eastAsia" w:ascii="仿宋_GB2312" w:hAnsi="Times New Roman" w:eastAsia="仿宋_GB2312"/>
          <w:kern w:val="0"/>
          <w:sz w:val="32"/>
          <w:szCs w:val="32"/>
        </w:rPr>
        <w:t>;</w:t>
      </w:r>
    </w:p>
    <w:p w14:paraId="0B1077EA">
      <w:pPr>
        <w:overflowPunct w:val="0"/>
        <w:autoSpaceDE w:val="0"/>
        <w:autoSpaceDN w:val="0"/>
        <w:adjustRightInd w:val="0"/>
        <w:snapToGrid w:val="0"/>
        <w:spacing w:line="570" w:lineRule="exact"/>
        <w:rPr>
          <w:rFonts w:ascii="仿宋_GB2312" w:hAnsi="Times New Roman" w:eastAsia="仿宋_GB2312"/>
          <w:kern w:val="0"/>
          <w:sz w:val="32"/>
          <w:szCs w:val="32"/>
        </w:rPr>
      </w:pPr>
      <w:r>
        <w:rPr>
          <w:rFonts w:hint="eastAsia" w:ascii="仿宋_GB2312" w:hAnsi="Times New Roman" w:eastAsia="仿宋_GB2312"/>
          <w:kern w:val="0"/>
          <w:sz w:val="32"/>
          <w:szCs w:val="32"/>
        </w:rPr>
        <w:t xml:space="preserve">    3.</w:t>
      </w:r>
      <w:r>
        <w:rPr>
          <w:rFonts w:hint="eastAsia" w:ascii="仿宋_GB2312" w:hAnsi="仿宋_GB2312" w:eastAsia="仿宋_GB2312"/>
          <w:kern w:val="0"/>
          <w:sz w:val="32"/>
          <w:szCs w:val="32"/>
        </w:rPr>
        <w:t>肝功；乙肝三系统、</w:t>
      </w:r>
      <w:r>
        <w:rPr>
          <w:rFonts w:hint="eastAsia" w:ascii="仿宋_GB2312" w:hAnsi="Times New Roman" w:eastAsia="仿宋_GB2312"/>
          <w:kern w:val="0"/>
          <w:sz w:val="32"/>
          <w:szCs w:val="32"/>
        </w:rPr>
        <w:t>HBV-DNA</w:t>
      </w:r>
      <w:r>
        <w:rPr>
          <w:rFonts w:hint="eastAsia" w:ascii="仿宋_GB2312" w:hAnsi="仿宋_GB2312" w:eastAsia="仿宋_GB2312"/>
          <w:kern w:val="0"/>
          <w:sz w:val="32"/>
          <w:szCs w:val="32"/>
        </w:rPr>
        <w:t>；抗</w:t>
      </w:r>
      <w:r>
        <w:rPr>
          <w:rFonts w:hint="eastAsia" w:ascii="仿宋_GB2312" w:hAnsi="Times New Roman" w:eastAsia="仿宋_GB2312"/>
          <w:kern w:val="0"/>
          <w:sz w:val="32"/>
          <w:szCs w:val="32"/>
        </w:rPr>
        <w:t>-HCV</w:t>
      </w:r>
      <w:r>
        <w:rPr>
          <w:rFonts w:hint="eastAsia" w:ascii="仿宋_GB2312" w:hAnsi="仿宋_GB2312" w:eastAsia="仿宋_GB2312"/>
          <w:kern w:val="0"/>
          <w:sz w:val="32"/>
          <w:szCs w:val="32"/>
        </w:rPr>
        <w:t>、</w:t>
      </w:r>
      <w:r>
        <w:rPr>
          <w:rFonts w:hint="eastAsia" w:ascii="仿宋_GB2312" w:hAnsi="Times New Roman" w:eastAsia="仿宋_GB2312"/>
          <w:kern w:val="0"/>
          <w:sz w:val="32"/>
          <w:szCs w:val="32"/>
        </w:rPr>
        <w:t>HCV-RNA</w:t>
      </w:r>
      <w:r>
        <w:rPr>
          <w:rFonts w:hint="eastAsia" w:ascii="仿宋_GB2312" w:hAnsi="仿宋_GB2312" w:eastAsia="仿宋_GB2312"/>
          <w:kern w:val="0"/>
          <w:sz w:val="32"/>
          <w:szCs w:val="32"/>
        </w:rPr>
        <w:t>；影像学及其他相关的各项检查资料；</w:t>
      </w:r>
    </w:p>
    <w:p w14:paraId="67352AE0">
      <w:pPr>
        <w:overflowPunct w:val="0"/>
        <w:autoSpaceDE w:val="0"/>
        <w:autoSpaceDN w:val="0"/>
        <w:adjustRightInd w:val="0"/>
        <w:snapToGrid w:val="0"/>
        <w:spacing w:line="570" w:lineRule="exact"/>
        <w:rPr>
          <w:rFonts w:ascii="仿宋_GB2312" w:hAnsi="Times New Roman" w:eastAsia="仿宋_GB2312"/>
          <w:kern w:val="0"/>
          <w:sz w:val="32"/>
          <w:szCs w:val="32"/>
        </w:rPr>
      </w:pPr>
      <w:r>
        <w:rPr>
          <w:rFonts w:hint="eastAsia" w:ascii="仿宋_GB2312" w:hAnsi="Times New Roman" w:eastAsia="仿宋_GB2312"/>
          <w:kern w:val="0"/>
          <w:sz w:val="32"/>
          <w:szCs w:val="32"/>
        </w:rPr>
        <w:t xml:space="preserve">    4.</w:t>
      </w:r>
      <w:r>
        <w:rPr>
          <w:rFonts w:hint="eastAsia" w:ascii="仿宋_GB2312" w:hAnsi="仿宋_GB2312" w:eastAsia="仿宋_GB2312"/>
          <w:kern w:val="0"/>
          <w:sz w:val="32"/>
          <w:szCs w:val="32"/>
        </w:rPr>
        <w:t>医保定点医疗机构相关科室</w:t>
      </w:r>
      <w:r>
        <w:rPr>
          <w:rFonts w:hint="eastAsia" w:ascii="仿宋_GB2312" w:hAnsi="Times New Roman" w:eastAsia="仿宋_GB2312"/>
          <w:sz w:val="32"/>
          <w:szCs w:val="32"/>
        </w:rPr>
        <w:t>副主任医师以上（含副主任医师）</w:t>
      </w:r>
      <w:r>
        <w:rPr>
          <w:rFonts w:hint="eastAsia" w:ascii="仿宋_GB2312" w:hAnsi="仿宋_GB2312" w:eastAsia="仿宋_GB2312"/>
          <w:kern w:val="0"/>
          <w:sz w:val="32"/>
          <w:szCs w:val="32"/>
        </w:rPr>
        <w:t>签名的治疗计划；</w:t>
      </w:r>
    </w:p>
    <w:p w14:paraId="48BC5CEE">
      <w:pPr>
        <w:overflowPunct w:val="0"/>
        <w:autoSpaceDE w:val="0"/>
        <w:autoSpaceDN w:val="0"/>
        <w:adjustRightInd w:val="0"/>
        <w:snapToGrid w:val="0"/>
        <w:spacing w:line="570" w:lineRule="exact"/>
        <w:rPr>
          <w:rFonts w:ascii="仿宋_GB2312" w:hAnsi="Times New Roman" w:eastAsia="仿宋_GB2312"/>
          <w:kern w:val="0"/>
          <w:sz w:val="32"/>
          <w:szCs w:val="32"/>
        </w:rPr>
      </w:pPr>
      <w:r>
        <w:rPr>
          <w:rFonts w:hint="eastAsia" w:ascii="仿宋_GB2312" w:hAnsi="Times New Roman" w:eastAsia="仿宋_GB2312"/>
          <w:kern w:val="0"/>
          <w:sz w:val="32"/>
          <w:szCs w:val="32"/>
        </w:rPr>
        <w:t xml:space="preserve">    5.</w:t>
      </w:r>
      <w:r>
        <w:rPr>
          <w:rFonts w:hint="eastAsia" w:ascii="仿宋_GB2312" w:hAnsi="仿宋_GB2312" w:eastAsia="仿宋_GB2312"/>
          <w:kern w:val="0"/>
          <w:sz w:val="32"/>
          <w:szCs w:val="32"/>
        </w:rPr>
        <w:t>医保定点医疗机构加盖公章的诊断证明书。</w:t>
      </w:r>
    </w:p>
    <w:p w14:paraId="4329FF90">
      <w:pPr>
        <w:overflowPunct w:val="0"/>
        <w:autoSpaceDE w:val="0"/>
        <w:autoSpaceDN w:val="0"/>
        <w:adjustRightInd w:val="0"/>
        <w:snapToGrid w:val="0"/>
        <w:spacing w:line="570" w:lineRule="exact"/>
        <w:ind w:firstLine="630" w:firstLineChars="197"/>
        <w:rPr>
          <w:rFonts w:ascii="楷体_GB2312" w:hAnsi="Times New Roman" w:eastAsia="楷体_GB2312"/>
          <w:bCs/>
          <w:sz w:val="32"/>
          <w:szCs w:val="32"/>
        </w:rPr>
      </w:pPr>
      <w:r>
        <w:rPr>
          <w:rFonts w:hint="eastAsia" w:ascii="楷体_GB2312" w:hAnsi="Times New Roman" w:eastAsia="楷体_GB2312"/>
          <w:bCs/>
          <w:sz w:val="32"/>
          <w:szCs w:val="32"/>
        </w:rPr>
        <w:t>（二）治疗指征（认定标准）</w:t>
      </w:r>
    </w:p>
    <w:p w14:paraId="4D44C947">
      <w:pPr>
        <w:overflowPunct w:val="0"/>
        <w:autoSpaceDE w:val="0"/>
        <w:autoSpaceDN w:val="0"/>
        <w:adjustRightInd w:val="0"/>
        <w:snapToGrid w:val="0"/>
        <w:spacing w:line="570" w:lineRule="exact"/>
        <w:rPr>
          <w:rFonts w:ascii="仿宋_GB2312" w:hAnsi="Times New Roman" w:eastAsia="仿宋_GB2312"/>
          <w:kern w:val="0"/>
          <w:sz w:val="32"/>
          <w:szCs w:val="32"/>
        </w:rPr>
      </w:pPr>
      <w:r>
        <w:rPr>
          <w:rFonts w:hint="eastAsia" w:ascii="仿宋_GB2312" w:hAnsi="Times New Roman" w:eastAsia="仿宋_GB2312"/>
          <w:kern w:val="0"/>
          <w:sz w:val="32"/>
          <w:szCs w:val="32"/>
        </w:rPr>
        <w:t xml:space="preserve">    1.</w:t>
      </w:r>
      <w:r>
        <w:rPr>
          <w:rFonts w:hint="eastAsia" w:ascii="仿宋_GB2312" w:hAnsi="仿宋_GB2312" w:eastAsia="仿宋_GB2312"/>
          <w:kern w:val="0"/>
          <w:sz w:val="32"/>
          <w:szCs w:val="32"/>
        </w:rPr>
        <w:t>乙肝</w:t>
      </w:r>
      <w:r>
        <w:rPr>
          <w:rFonts w:hint="eastAsia" w:ascii="仿宋_GB2312" w:hAnsi="Times New Roman" w:eastAsia="仿宋_GB2312"/>
          <w:kern w:val="0"/>
          <w:sz w:val="32"/>
          <w:szCs w:val="32"/>
        </w:rPr>
        <w:t>:</w:t>
      </w:r>
      <w:r>
        <w:rPr>
          <w:rFonts w:hint="eastAsia" w:ascii="仿宋_GB2312" w:hAnsi="仿宋_GB2312" w:eastAsia="仿宋_GB2312"/>
          <w:kern w:val="0"/>
          <w:sz w:val="32"/>
          <w:szCs w:val="32"/>
        </w:rPr>
        <w:t>三系统和</w:t>
      </w:r>
      <w:r>
        <w:rPr>
          <w:rFonts w:hint="eastAsia" w:ascii="仿宋_GB2312" w:hAnsi="Times New Roman" w:eastAsia="仿宋_GB2312"/>
          <w:kern w:val="0"/>
          <w:sz w:val="32"/>
          <w:szCs w:val="32"/>
        </w:rPr>
        <w:t>HBV-DNA</w:t>
      </w:r>
      <w:r>
        <w:rPr>
          <w:rFonts w:hint="eastAsia" w:ascii="仿宋_GB2312" w:hAnsi="仿宋_GB2312" w:eastAsia="仿宋_GB2312"/>
          <w:kern w:val="0"/>
          <w:sz w:val="32"/>
          <w:szCs w:val="32"/>
        </w:rPr>
        <w:t>提示患者乙肝病毒感染，并处于活动期</w:t>
      </w:r>
      <w:r>
        <w:rPr>
          <w:rFonts w:hint="eastAsia" w:ascii="仿宋_GB2312" w:hAnsi="Times New Roman" w:eastAsia="仿宋_GB2312"/>
          <w:kern w:val="0"/>
          <w:sz w:val="32"/>
          <w:szCs w:val="32"/>
        </w:rPr>
        <w:t>(HBV-DNA≥20IU/ml)</w:t>
      </w:r>
      <w:r>
        <w:rPr>
          <w:rFonts w:hint="eastAsia" w:ascii="仿宋_GB2312" w:hAnsi="仿宋_GB2312" w:eastAsia="仿宋_GB2312"/>
          <w:kern w:val="0"/>
          <w:sz w:val="32"/>
          <w:szCs w:val="32"/>
        </w:rPr>
        <w:t>，或（</w:t>
      </w:r>
      <w:r>
        <w:rPr>
          <w:rFonts w:hint="eastAsia" w:ascii="仿宋_GB2312" w:hAnsi="Times New Roman" w:eastAsia="仿宋_GB2312"/>
          <w:kern w:val="0"/>
          <w:sz w:val="32"/>
          <w:szCs w:val="32"/>
        </w:rPr>
        <w:t>1</w:t>
      </w:r>
      <w:r>
        <w:rPr>
          <w:rFonts w:hint="eastAsia" w:ascii="仿宋_GB2312" w:hAnsi="仿宋_GB2312" w:eastAsia="仿宋_GB2312"/>
          <w:kern w:val="0"/>
          <w:sz w:val="32"/>
          <w:szCs w:val="32"/>
        </w:rPr>
        <w:t>）年龄</w:t>
      </w:r>
      <w:r>
        <w:rPr>
          <w:rFonts w:hint="eastAsia" w:ascii="仿宋_GB2312" w:hAnsi="Times New Roman" w:eastAsia="仿宋_GB2312"/>
          <w:kern w:val="0"/>
          <w:sz w:val="32"/>
          <w:szCs w:val="32"/>
        </w:rPr>
        <w:t>&gt;30</w:t>
      </w:r>
      <w:r>
        <w:rPr>
          <w:rFonts w:hint="eastAsia" w:ascii="仿宋_GB2312" w:hAnsi="仿宋_GB2312" w:eastAsia="仿宋_GB2312"/>
          <w:kern w:val="0"/>
          <w:sz w:val="32"/>
          <w:szCs w:val="32"/>
        </w:rPr>
        <w:t>岁（</w:t>
      </w:r>
      <w:r>
        <w:rPr>
          <w:rFonts w:hint="eastAsia" w:ascii="仿宋_GB2312" w:hAnsi="Times New Roman" w:eastAsia="仿宋_GB2312"/>
          <w:kern w:val="0"/>
          <w:sz w:val="32"/>
          <w:szCs w:val="32"/>
        </w:rPr>
        <w:t>2</w:t>
      </w:r>
      <w:r>
        <w:rPr>
          <w:rFonts w:hint="eastAsia" w:ascii="仿宋_GB2312" w:hAnsi="仿宋_GB2312" w:eastAsia="仿宋_GB2312"/>
          <w:kern w:val="0"/>
          <w:sz w:val="32"/>
          <w:szCs w:val="32"/>
        </w:rPr>
        <w:t>）肝硬化家族史（</w:t>
      </w:r>
      <w:r>
        <w:rPr>
          <w:rFonts w:hint="eastAsia" w:ascii="仿宋_GB2312" w:hAnsi="Times New Roman" w:eastAsia="仿宋_GB2312"/>
          <w:kern w:val="0"/>
          <w:sz w:val="32"/>
          <w:szCs w:val="32"/>
        </w:rPr>
        <w:t>3</w:t>
      </w:r>
      <w:r>
        <w:rPr>
          <w:rFonts w:hint="eastAsia" w:ascii="仿宋_GB2312" w:hAnsi="仿宋_GB2312" w:eastAsia="仿宋_GB2312"/>
          <w:kern w:val="0"/>
          <w:sz w:val="32"/>
          <w:szCs w:val="32"/>
        </w:rPr>
        <w:t>）肝癌家族史</w:t>
      </w:r>
      <w:r>
        <w:rPr>
          <w:rFonts w:hint="eastAsia" w:ascii="仿宋_GB2312" w:hAnsi="Times New Roman" w:eastAsia="仿宋_GB2312"/>
          <w:kern w:val="0"/>
          <w:sz w:val="32"/>
          <w:szCs w:val="32"/>
        </w:rPr>
        <w:t>;</w:t>
      </w:r>
    </w:p>
    <w:p w14:paraId="1113A07C">
      <w:pPr>
        <w:pStyle w:val="9"/>
        <w:shd w:val="clear" w:color="auto" w:fill="FFFFFF"/>
        <w:overflowPunct w:val="0"/>
        <w:autoSpaceDE w:val="0"/>
        <w:autoSpaceDN w:val="0"/>
        <w:adjustRightInd w:val="0"/>
        <w:snapToGrid w:val="0"/>
        <w:spacing w:line="570" w:lineRule="exact"/>
        <w:jc w:val="both"/>
        <w:rPr>
          <w:rFonts w:hint="default" w:ascii="仿宋_GB2312" w:hAnsi="Times New Roman" w:eastAsia="仿宋_GB2312"/>
          <w:sz w:val="32"/>
          <w:szCs w:val="32"/>
          <w:lang w:val="en"/>
        </w:rPr>
      </w:pPr>
      <w:r>
        <w:rPr>
          <w:rFonts w:ascii="仿宋_GB2312" w:hAnsi="Times New Roman" w:eastAsia="仿宋_GB2312"/>
          <w:sz w:val="32"/>
          <w:szCs w:val="32"/>
        </w:rPr>
        <w:t xml:space="preserve">    2.</w:t>
      </w:r>
      <w:r>
        <w:rPr>
          <w:rFonts w:ascii="仿宋_GB2312" w:hAnsi="仿宋_GB2312" w:eastAsia="仿宋_GB2312"/>
          <w:sz w:val="32"/>
          <w:szCs w:val="32"/>
        </w:rPr>
        <w:t>丙肝</w:t>
      </w:r>
      <w:r>
        <w:rPr>
          <w:rFonts w:ascii="仿宋_GB2312" w:hAnsi="Times New Roman" w:eastAsia="仿宋_GB2312"/>
          <w:sz w:val="32"/>
          <w:szCs w:val="32"/>
        </w:rPr>
        <w:t>:</w:t>
      </w:r>
      <w:r>
        <w:rPr>
          <w:rFonts w:ascii="仿宋_GB2312" w:hAnsi="仿宋_GB2312" w:eastAsia="仿宋_GB2312"/>
          <w:sz w:val="32"/>
          <w:szCs w:val="32"/>
        </w:rPr>
        <w:t>抗</w:t>
      </w:r>
      <w:r>
        <w:rPr>
          <w:rFonts w:ascii="仿宋_GB2312" w:hAnsi="Times New Roman" w:eastAsia="仿宋_GB2312"/>
          <w:sz w:val="32"/>
          <w:szCs w:val="32"/>
        </w:rPr>
        <w:t>-HCV</w:t>
      </w:r>
      <w:r>
        <w:rPr>
          <w:rFonts w:ascii="仿宋_GB2312" w:hAnsi="仿宋_GB2312" w:eastAsia="仿宋_GB2312"/>
          <w:sz w:val="32"/>
          <w:szCs w:val="32"/>
        </w:rPr>
        <w:t>、</w:t>
      </w:r>
      <w:r>
        <w:rPr>
          <w:rFonts w:ascii="仿宋_GB2312" w:hAnsi="Times New Roman" w:eastAsia="仿宋_GB2312"/>
          <w:sz w:val="32"/>
          <w:szCs w:val="32"/>
        </w:rPr>
        <w:t>HCV-RNA</w:t>
      </w:r>
      <w:r>
        <w:rPr>
          <w:rFonts w:ascii="仿宋_GB2312" w:hAnsi="仿宋_GB2312" w:eastAsia="仿宋_GB2312"/>
          <w:sz w:val="32"/>
          <w:szCs w:val="32"/>
        </w:rPr>
        <w:t>提示丙肝病毒感染，并处于活动期</w:t>
      </w:r>
      <w:r>
        <w:rPr>
          <w:rFonts w:ascii="仿宋_GB2312" w:hAnsi="Times New Roman" w:eastAsia="仿宋_GB2312"/>
          <w:sz w:val="32"/>
          <w:szCs w:val="32"/>
        </w:rPr>
        <w:t>(HCV-RNA≥10</w:t>
      </w:r>
      <w:r>
        <w:rPr>
          <w:rFonts w:cs="宋体"/>
          <w:sz w:val="32"/>
          <w:szCs w:val="32"/>
        </w:rPr>
        <w:t>³</w:t>
      </w:r>
      <w:r>
        <w:rPr>
          <w:rFonts w:ascii="仿宋_GB2312" w:hAnsi="Times New Roman" w:eastAsia="仿宋_GB2312"/>
          <w:sz w:val="32"/>
          <w:szCs w:val="32"/>
        </w:rPr>
        <w:t>)</w:t>
      </w:r>
      <w:r>
        <w:rPr>
          <w:rFonts w:ascii="仿宋_GB2312" w:hAnsi="Times New Roman" w:eastAsia="仿宋_GB2312"/>
          <w:sz w:val="32"/>
          <w:szCs w:val="32"/>
          <w:lang w:val="en"/>
        </w:rPr>
        <w:t>;</w:t>
      </w:r>
    </w:p>
    <w:p w14:paraId="39767A94">
      <w:pPr>
        <w:overflowPunct w:val="0"/>
        <w:autoSpaceDE w:val="0"/>
        <w:autoSpaceDN w:val="0"/>
        <w:adjustRightInd w:val="0"/>
        <w:snapToGrid w:val="0"/>
        <w:spacing w:line="570" w:lineRule="exact"/>
        <w:ind w:firstLine="640" w:firstLineChars="200"/>
        <w:rPr>
          <w:rFonts w:ascii="仿宋_GB2312" w:hAnsi="Times New Roman" w:eastAsia="仿宋_GB2312"/>
          <w:kern w:val="0"/>
          <w:sz w:val="32"/>
          <w:szCs w:val="32"/>
        </w:rPr>
      </w:pPr>
      <w:r>
        <w:rPr>
          <w:rFonts w:hint="eastAsia" w:ascii="仿宋_GB2312" w:hAnsi="Times New Roman" w:eastAsia="仿宋_GB2312"/>
          <w:kern w:val="0"/>
          <w:sz w:val="32"/>
          <w:szCs w:val="32"/>
        </w:rPr>
        <w:t>3.</w:t>
      </w:r>
      <w:r>
        <w:rPr>
          <w:rFonts w:hint="eastAsia" w:ascii="仿宋_GB2312" w:hAnsi="仿宋_GB2312" w:eastAsia="仿宋_GB2312"/>
          <w:kern w:val="0"/>
          <w:sz w:val="32"/>
          <w:szCs w:val="32"/>
        </w:rPr>
        <w:t>有肝炎的症状、体征和肝功能异常，或病毒相关肝外损害。</w:t>
      </w:r>
    </w:p>
    <w:p w14:paraId="406BDB51">
      <w:pPr>
        <w:overflowPunct w:val="0"/>
        <w:autoSpaceDE w:val="0"/>
        <w:autoSpaceDN w:val="0"/>
        <w:adjustRightInd w:val="0"/>
        <w:snapToGrid w:val="0"/>
        <w:spacing w:line="570" w:lineRule="exact"/>
        <w:ind w:firstLine="640" w:firstLineChars="200"/>
        <w:rPr>
          <w:rFonts w:ascii="仿宋_GB2312" w:hAnsi="Times New Roman" w:eastAsia="仿宋_GB2312"/>
          <w:sz w:val="32"/>
          <w:szCs w:val="32"/>
        </w:rPr>
      </w:pPr>
      <w:r>
        <w:rPr>
          <w:rFonts w:hint="eastAsia" w:ascii="仿宋_GB2312" w:hAnsi="仿宋_GB2312" w:eastAsia="仿宋_GB2312"/>
          <w:kern w:val="0"/>
          <w:sz w:val="32"/>
          <w:szCs w:val="32"/>
        </w:rPr>
        <w:t>满足以上任何一条均可。</w:t>
      </w:r>
    </w:p>
    <w:p w14:paraId="16E4E91F">
      <w:pPr>
        <w:overflowPunct w:val="0"/>
        <w:autoSpaceDE w:val="0"/>
        <w:autoSpaceDN w:val="0"/>
        <w:adjustRightInd w:val="0"/>
        <w:snapToGrid w:val="0"/>
        <w:spacing w:line="570" w:lineRule="exact"/>
        <w:ind w:firstLine="630" w:firstLineChars="197"/>
        <w:rPr>
          <w:rFonts w:ascii="楷体_GB2312" w:hAnsi="Times New Roman" w:eastAsia="楷体_GB2312"/>
          <w:bCs/>
          <w:sz w:val="32"/>
          <w:szCs w:val="32"/>
        </w:rPr>
      </w:pPr>
      <w:r>
        <w:rPr>
          <w:rFonts w:hint="eastAsia" w:ascii="楷体_GB2312" w:hAnsi="Times New Roman" w:eastAsia="楷体_GB2312"/>
          <w:bCs/>
          <w:sz w:val="32"/>
          <w:szCs w:val="32"/>
        </w:rPr>
        <w:t>（三）门诊诊疗范围</w:t>
      </w:r>
    </w:p>
    <w:p w14:paraId="5D6DCCD3">
      <w:pPr>
        <w:overflowPunct w:val="0"/>
        <w:autoSpaceDE w:val="0"/>
        <w:autoSpaceDN w:val="0"/>
        <w:adjustRightInd w:val="0"/>
        <w:snapToGrid w:val="0"/>
        <w:spacing w:line="570" w:lineRule="exact"/>
        <w:rPr>
          <w:rFonts w:ascii="仿宋_GB2312" w:hAnsi="Times New Roman" w:eastAsia="仿宋_GB2312"/>
          <w:kern w:val="0"/>
          <w:sz w:val="32"/>
          <w:szCs w:val="32"/>
        </w:rPr>
      </w:pPr>
      <w:r>
        <w:rPr>
          <w:rFonts w:hint="eastAsia" w:ascii="仿宋_GB2312" w:hAnsi="Times New Roman" w:eastAsia="仿宋_GB2312"/>
          <w:kern w:val="0"/>
          <w:sz w:val="32"/>
          <w:szCs w:val="32"/>
        </w:rPr>
        <w:t xml:space="preserve">    1.</w:t>
      </w:r>
      <w:r>
        <w:rPr>
          <w:rFonts w:hint="eastAsia" w:ascii="仿宋_GB2312" w:hAnsi="仿宋_GB2312" w:eastAsia="仿宋_GB2312"/>
          <w:kern w:val="0"/>
          <w:sz w:val="32"/>
          <w:szCs w:val="32"/>
        </w:rPr>
        <w:t>病因治疗</w:t>
      </w:r>
      <w:r>
        <w:rPr>
          <w:rFonts w:hint="eastAsia" w:ascii="仿宋_GB2312" w:hAnsi="Times New Roman" w:eastAsia="仿宋_GB2312"/>
          <w:kern w:val="0"/>
          <w:sz w:val="32"/>
          <w:szCs w:val="32"/>
        </w:rPr>
        <w:t>;</w:t>
      </w:r>
    </w:p>
    <w:p w14:paraId="57A02E1C">
      <w:pPr>
        <w:overflowPunct w:val="0"/>
        <w:autoSpaceDE w:val="0"/>
        <w:autoSpaceDN w:val="0"/>
        <w:adjustRightInd w:val="0"/>
        <w:snapToGrid w:val="0"/>
        <w:spacing w:line="570" w:lineRule="exact"/>
        <w:rPr>
          <w:rFonts w:ascii="仿宋_GB2312" w:hAnsi="Times New Roman" w:eastAsia="仿宋_GB2312"/>
          <w:kern w:val="0"/>
          <w:sz w:val="32"/>
          <w:szCs w:val="32"/>
        </w:rPr>
      </w:pPr>
      <w:r>
        <w:rPr>
          <w:rFonts w:hint="eastAsia" w:ascii="仿宋_GB2312" w:hAnsi="Times New Roman" w:eastAsia="仿宋_GB2312"/>
          <w:kern w:val="0"/>
          <w:sz w:val="32"/>
          <w:szCs w:val="32"/>
        </w:rPr>
        <w:t xml:space="preserve">    2.</w:t>
      </w:r>
      <w:r>
        <w:rPr>
          <w:rFonts w:hint="eastAsia" w:ascii="仿宋_GB2312" w:hAnsi="仿宋_GB2312" w:eastAsia="仿宋_GB2312"/>
          <w:kern w:val="0"/>
          <w:sz w:val="32"/>
          <w:szCs w:val="32"/>
        </w:rPr>
        <w:t>治疗期间的相关检查</w:t>
      </w:r>
      <w:r>
        <w:rPr>
          <w:rFonts w:hint="eastAsia" w:ascii="仿宋_GB2312" w:hAnsi="Times New Roman" w:eastAsia="仿宋_GB2312"/>
          <w:kern w:val="0"/>
          <w:sz w:val="32"/>
          <w:szCs w:val="32"/>
        </w:rPr>
        <w:t>;</w:t>
      </w:r>
    </w:p>
    <w:p w14:paraId="58BB9159">
      <w:pPr>
        <w:overflowPunct w:val="0"/>
        <w:autoSpaceDE w:val="0"/>
        <w:autoSpaceDN w:val="0"/>
        <w:adjustRightInd w:val="0"/>
        <w:snapToGrid w:val="0"/>
        <w:spacing w:line="570" w:lineRule="exact"/>
        <w:rPr>
          <w:rFonts w:ascii="仿宋_GB2312" w:hAnsi="Times New Roman" w:eastAsia="仿宋_GB2312"/>
          <w:kern w:val="0"/>
          <w:sz w:val="32"/>
          <w:szCs w:val="32"/>
        </w:rPr>
      </w:pPr>
      <w:r>
        <w:rPr>
          <w:rFonts w:hint="eastAsia" w:ascii="仿宋_GB2312" w:hAnsi="Times New Roman" w:eastAsia="仿宋_GB2312"/>
          <w:kern w:val="0"/>
          <w:sz w:val="32"/>
          <w:szCs w:val="32"/>
        </w:rPr>
        <w:t xml:space="preserve">    3.</w:t>
      </w:r>
      <w:r>
        <w:rPr>
          <w:rFonts w:hint="eastAsia" w:ascii="仿宋_GB2312" w:hAnsi="仿宋_GB2312" w:eastAsia="仿宋_GB2312"/>
          <w:kern w:val="0"/>
          <w:sz w:val="32"/>
          <w:szCs w:val="32"/>
        </w:rPr>
        <w:t>抗病毒药物及保肝药。</w:t>
      </w:r>
    </w:p>
    <w:p w14:paraId="51CEFA7F">
      <w:pPr>
        <w:overflowPunct w:val="0"/>
        <w:autoSpaceDE w:val="0"/>
        <w:autoSpaceDN w:val="0"/>
        <w:adjustRightInd w:val="0"/>
        <w:snapToGrid w:val="0"/>
        <w:spacing w:line="570" w:lineRule="exact"/>
        <w:ind w:firstLine="630" w:firstLineChars="197"/>
        <w:rPr>
          <w:rFonts w:ascii="楷体_GB2312" w:hAnsi="Times New Roman" w:eastAsia="楷体_GB2312"/>
          <w:bCs/>
          <w:sz w:val="32"/>
          <w:szCs w:val="32"/>
        </w:rPr>
      </w:pPr>
      <w:r>
        <w:rPr>
          <w:rFonts w:hint="eastAsia" w:ascii="楷体_GB2312" w:hAnsi="Times New Roman" w:eastAsia="楷体_GB2312"/>
          <w:bCs/>
          <w:sz w:val="32"/>
          <w:szCs w:val="32"/>
        </w:rPr>
        <w:t>（四）复审期限</w:t>
      </w:r>
    </w:p>
    <w:p w14:paraId="02D49161">
      <w:pPr>
        <w:overflowPunct w:val="0"/>
        <w:autoSpaceDE w:val="0"/>
        <w:autoSpaceDN w:val="0"/>
        <w:adjustRightInd w:val="0"/>
        <w:snapToGrid w:val="0"/>
        <w:spacing w:line="570" w:lineRule="exact"/>
        <w:rPr>
          <w:rFonts w:ascii="仿宋_GB2312" w:hAnsi="Times New Roman" w:eastAsia="仿宋_GB2312"/>
          <w:bCs/>
          <w:sz w:val="32"/>
          <w:szCs w:val="32"/>
        </w:rPr>
      </w:pPr>
      <w:r>
        <w:rPr>
          <w:rFonts w:hint="eastAsia" w:ascii="仿宋_GB2312" w:hAnsi="Times New Roman" w:eastAsia="仿宋_GB2312"/>
          <w:bCs/>
          <w:sz w:val="32"/>
          <w:szCs w:val="32"/>
        </w:rPr>
        <w:t xml:space="preserve">    </w:t>
      </w:r>
      <w:r>
        <w:rPr>
          <w:rFonts w:hint="eastAsia" w:ascii="仿宋_GB2312" w:hAnsi="仿宋_GB2312" w:eastAsia="仿宋_GB2312"/>
          <w:bCs/>
          <w:sz w:val="32"/>
          <w:szCs w:val="32"/>
        </w:rPr>
        <w:t>每</w:t>
      </w:r>
      <w:r>
        <w:rPr>
          <w:rFonts w:hint="eastAsia" w:ascii="仿宋_GB2312" w:hAnsi="Times New Roman" w:eastAsia="仿宋_GB2312"/>
          <w:bCs/>
          <w:sz w:val="32"/>
          <w:szCs w:val="32"/>
        </w:rPr>
        <w:t>2</w:t>
      </w:r>
      <w:r>
        <w:rPr>
          <w:rFonts w:hint="eastAsia" w:ascii="仿宋_GB2312" w:hAnsi="仿宋_GB2312" w:eastAsia="仿宋_GB2312"/>
          <w:bCs/>
          <w:sz w:val="32"/>
          <w:szCs w:val="32"/>
        </w:rPr>
        <w:t>年复审一次。</w:t>
      </w:r>
    </w:p>
    <w:p w14:paraId="0692F88D">
      <w:pPr>
        <w:overflowPunct w:val="0"/>
        <w:autoSpaceDE w:val="0"/>
        <w:autoSpaceDN w:val="0"/>
        <w:adjustRightInd w:val="0"/>
        <w:snapToGrid w:val="0"/>
        <w:spacing w:line="570" w:lineRule="exact"/>
        <w:rPr>
          <w:rFonts w:ascii="黑体" w:hAnsi="黑体" w:eastAsia="黑体"/>
          <w:sz w:val="32"/>
          <w:szCs w:val="32"/>
        </w:rPr>
      </w:pPr>
      <w:r>
        <w:rPr>
          <w:rFonts w:hint="eastAsia" w:ascii="仿宋_GB2312" w:hAnsi="Times New Roman" w:eastAsia="仿宋_GB2312"/>
          <w:sz w:val="32"/>
          <w:szCs w:val="32"/>
        </w:rPr>
        <w:t xml:space="preserve">    </w:t>
      </w:r>
      <w:r>
        <w:rPr>
          <w:rFonts w:hint="eastAsia" w:ascii="黑体" w:hAnsi="黑体" w:eastAsia="黑体"/>
          <w:sz w:val="32"/>
          <w:szCs w:val="32"/>
        </w:rPr>
        <w:t>九、肝硬化失代偿期</w:t>
      </w:r>
    </w:p>
    <w:p w14:paraId="70BCA65C">
      <w:pPr>
        <w:overflowPunct w:val="0"/>
        <w:autoSpaceDE w:val="0"/>
        <w:autoSpaceDN w:val="0"/>
        <w:adjustRightInd w:val="0"/>
        <w:snapToGrid w:val="0"/>
        <w:spacing w:line="570" w:lineRule="exact"/>
        <w:ind w:firstLine="630" w:firstLineChars="197"/>
        <w:rPr>
          <w:rFonts w:ascii="楷体_GB2312" w:hAnsi="Times New Roman" w:eastAsia="楷体_GB2312"/>
          <w:bCs/>
          <w:sz w:val="32"/>
          <w:szCs w:val="32"/>
        </w:rPr>
      </w:pPr>
      <w:r>
        <w:rPr>
          <w:rFonts w:hint="eastAsia" w:ascii="楷体_GB2312" w:hAnsi="Times New Roman" w:eastAsia="楷体_GB2312"/>
          <w:bCs/>
          <w:sz w:val="32"/>
          <w:szCs w:val="32"/>
        </w:rPr>
        <w:t>（一）申报资料</w:t>
      </w:r>
    </w:p>
    <w:p w14:paraId="44292B0A">
      <w:pPr>
        <w:overflowPunct w:val="0"/>
        <w:autoSpaceDE w:val="0"/>
        <w:autoSpaceDN w:val="0"/>
        <w:adjustRightInd w:val="0"/>
        <w:snapToGrid w:val="0"/>
        <w:spacing w:line="570" w:lineRule="exact"/>
        <w:ind w:firstLine="640" w:firstLineChars="200"/>
        <w:rPr>
          <w:rFonts w:ascii="仿宋_GB2312" w:hAnsi="Times New Roman" w:eastAsia="仿宋_GB2312"/>
          <w:sz w:val="32"/>
          <w:szCs w:val="32"/>
        </w:rPr>
      </w:pPr>
      <w:r>
        <w:rPr>
          <w:rFonts w:hint="eastAsia" w:ascii="仿宋_GB2312" w:hAnsi="Times New Roman" w:eastAsia="仿宋_GB2312"/>
          <w:sz w:val="32"/>
          <w:szCs w:val="32"/>
        </w:rPr>
        <w:t>1.须提供患者本人近一年的与所申请病种相符合的住院病历或完整的门诊病历；</w:t>
      </w:r>
    </w:p>
    <w:p w14:paraId="22864492">
      <w:pPr>
        <w:overflowPunct w:val="0"/>
        <w:autoSpaceDE w:val="0"/>
        <w:autoSpaceDN w:val="0"/>
        <w:adjustRightInd w:val="0"/>
        <w:snapToGrid w:val="0"/>
        <w:spacing w:line="570" w:lineRule="exact"/>
        <w:ind w:firstLine="640" w:firstLineChars="200"/>
        <w:rPr>
          <w:rFonts w:ascii="仿宋_GB2312" w:hAnsi="Times New Roman" w:eastAsia="仿宋_GB2312"/>
          <w:sz w:val="32"/>
          <w:szCs w:val="32"/>
        </w:rPr>
      </w:pPr>
      <w:r>
        <w:rPr>
          <w:rFonts w:hint="eastAsia" w:ascii="仿宋_GB2312" w:hAnsi="Times New Roman" w:eastAsia="仿宋_GB2312"/>
          <w:sz w:val="32"/>
          <w:szCs w:val="32"/>
        </w:rPr>
        <w:t>2.医保定点医疗机构消化科副主任医师以上（含副主任医师）签名的治疗计划；</w:t>
      </w:r>
    </w:p>
    <w:p w14:paraId="00266B2D">
      <w:pPr>
        <w:overflowPunct w:val="0"/>
        <w:autoSpaceDE w:val="0"/>
        <w:autoSpaceDN w:val="0"/>
        <w:adjustRightInd w:val="0"/>
        <w:snapToGrid w:val="0"/>
        <w:spacing w:line="570" w:lineRule="exact"/>
        <w:ind w:firstLine="640" w:firstLineChars="200"/>
        <w:rPr>
          <w:rFonts w:ascii="仿宋_GB2312" w:hAnsi="Times New Roman" w:eastAsia="仿宋_GB2312"/>
          <w:kern w:val="0"/>
          <w:sz w:val="32"/>
          <w:szCs w:val="32"/>
        </w:rPr>
      </w:pPr>
      <w:r>
        <w:rPr>
          <w:rFonts w:hint="eastAsia" w:ascii="仿宋_GB2312" w:hAnsi="Times New Roman" w:eastAsia="仿宋_GB2312"/>
          <w:sz w:val="32"/>
          <w:szCs w:val="32"/>
        </w:rPr>
        <w:t>3.医保定点医疗机构加盖公章的诊断证明书。</w:t>
      </w:r>
    </w:p>
    <w:p w14:paraId="4E4FCCC8">
      <w:pPr>
        <w:overflowPunct w:val="0"/>
        <w:autoSpaceDE w:val="0"/>
        <w:autoSpaceDN w:val="0"/>
        <w:adjustRightInd w:val="0"/>
        <w:snapToGrid w:val="0"/>
        <w:spacing w:line="570" w:lineRule="exact"/>
        <w:ind w:firstLine="630" w:firstLineChars="197"/>
        <w:rPr>
          <w:rFonts w:ascii="楷体_GB2312" w:hAnsi="Times New Roman" w:eastAsia="楷体_GB2312"/>
          <w:bCs/>
          <w:sz w:val="32"/>
          <w:szCs w:val="32"/>
        </w:rPr>
      </w:pPr>
      <w:r>
        <w:rPr>
          <w:rFonts w:hint="eastAsia" w:ascii="楷体_GB2312" w:hAnsi="Times New Roman" w:eastAsia="楷体_GB2312"/>
          <w:bCs/>
          <w:sz w:val="32"/>
          <w:szCs w:val="32"/>
        </w:rPr>
        <w:t>（二）治疗指征（认定标准）</w:t>
      </w:r>
    </w:p>
    <w:p w14:paraId="54330277">
      <w:pPr>
        <w:overflowPunct w:val="0"/>
        <w:autoSpaceDE w:val="0"/>
        <w:autoSpaceDN w:val="0"/>
        <w:adjustRightInd w:val="0"/>
        <w:snapToGrid w:val="0"/>
        <w:spacing w:line="570" w:lineRule="exact"/>
        <w:rPr>
          <w:rFonts w:ascii="仿宋_GB2312" w:hAnsi="Times New Roman" w:eastAsia="仿宋_GB2312"/>
          <w:kern w:val="0"/>
          <w:sz w:val="32"/>
          <w:szCs w:val="32"/>
        </w:rPr>
      </w:pPr>
      <w:r>
        <w:rPr>
          <w:rFonts w:hint="eastAsia" w:ascii="仿宋_GB2312" w:hAnsi="Times New Roman" w:eastAsia="仿宋_GB2312"/>
          <w:bCs/>
          <w:sz w:val="32"/>
          <w:szCs w:val="32"/>
        </w:rPr>
        <w:t xml:space="preserve">    </w:t>
      </w:r>
      <w:r>
        <w:rPr>
          <w:rFonts w:hint="eastAsia" w:ascii="仿宋_GB2312" w:hAnsi="Times New Roman" w:eastAsia="仿宋_GB2312"/>
          <w:sz w:val="32"/>
          <w:szCs w:val="32"/>
        </w:rPr>
        <w:t>肝功能损害、腹水、低蛋白血症、抗肝炎病毒、抗血栓、肝性脑病、食管胃底静脉曲张、门脉高压性胃病、感染等治疗或需要维持治疗。</w:t>
      </w:r>
    </w:p>
    <w:p w14:paraId="3D2A95F4">
      <w:pPr>
        <w:overflowPunct w:val="0"/>
        <w:autoSpaceDE w:val="0"/>
        <w:autoSpaceDN w:val="0"/>
        <w:adjustRightInd w:val="0"/>
        <w:snapToGrid w:val="0"/>
        <w:spacing w:line="570" w:lineRule="exact"/>
        <w:ind w:firstLine="630" w:firstLineChars="197"/>
        <w:rPr>
          <w:rFonts w:ascii="楷体_GB2312" w:hAnsi="Times New Roman" w:eastAsia="楷体_GB2312"/>
          <w:bCs/>
          <w:sz w:val="32"/>
          <w:szCs w:val="32"/>
        </w:rPr>
      </w:pPr>
      <w:r>
        <w:rPr>
          <w:rFonts w:hint="eastAsia" w:ascii="楷体_GB2312" w:hAnsi="Times New Roman" w:eastAsia="楷体_GB2312"/>
          <w:bCs/>
          <w:sz w:val="32"/>
          <w:szCs w:val="32"/>
        </w:rPr>
        <w:t>（三）门诊诊疗范围</w:t>
      </w:r>
    </w:p>
    <w:p w14:paraId="7817526A">
      <w:pPr>
        <w:overflowPunct w:val="0"/>
        <w:autoSpaceDE w:val="0"/>
        <w:autoSpaceDN w:val="0"/>
        <w:adjustRightInd w:val="0"/>
        <w:snapToGrid w:val="0"/>
        <w:spacing w:line="570" w:lineRule="exact"/>
        <w:ind w:firstLine="640" w:firstLineChars="200"/>
        <w:rPr>
          <w:rFonts w:ascii="仿宋_GB2312" w:hAnsi="Times New Roman" w:eastAsia="仿宋_GB2312"/>
          <w:sz w:val="32"/>
          <w:szCs w:val="32"/>
        </w:rPr>
      </w:pPr>
      <w:r>
        <w:rPr>
          <w:rFonts w:hint="eastAsia" w:ascii="仿宋_GB2312" w:hAnsi="Times New Roman" w:eastAsia="仿宋_GB2312"/>
          <w:sz w:val="32"/>
          <w:szCs w:val="32"/>
        </w:rPr>
        <w:t>1.保肝、利尿、抗病毒、纠正低蛋白血症、抗凝、纠正肝性脑病、抑酸、保护胃粘膜抗感染等药物；</w:t>
      </w:r>
    </w:p>
    <w:p w14:paraId="7365B1BD">
      <w:pPr>
        <w:overflowPunct w:val="0"/>
        <w:autoSpaceDE w:val="0"/>
        <w:autoSpaceDN w:val="0"/>
        <w:adjustRightInd w:val="0"/>
        <w:snapToGrid w:val="0"/>
        <w:spacing w:line="570" w:lineRule="exact"/>
        <w:ind w:firstLine="640" w:firstLineChars="200"/>
        <w:rPr>
          <w:rFonts w:ascii="仿宋_GB2312" w:hAnsi="Times New Roman" w:eastAsia="仿宋_GB2312"/>
          <w:kern w:val="0"/>
          <w:sz w:val="32"/>
          <w:szCs w:val="32"/>
        </w:rPr>
      </w:pPr>
      <w:r>
        <w:rPr>
          <w:rFonts w:hint="eastAsia" w:ascii="仿宋_GB2312" w:hAnsi="Times New Roman" w:eastAsia="仿宋_GB2312"/>
          <w:sz w:val="32"/>
          <w:szCs w:val="32"/>
        </w:rPr>
        <w:t>2.治疗期间及治疗后的相关检查。</w:t>
      </w:r>
    </w:p>
    <w:p w14:paraId="465DDA1F">
      <w:pPr>
        <w:overflowPunct w:val="0"/>
        <w:autoSpaceDE w:val="0"/>
        <w:autoSpaceDN w:val="0"/>
        <w:adjustRightInd w:val="0"/>
        <w:snapToGrid w:val="0"/>
        <w:spacing w:line="570" w:lineRule="exact"/>
        <w:ind w:firstLine="630" w:firstLineChars="197"/>
        <w:rPr>
          <w:rFonts w:ascii="楷体_GB2312" w:hAnsi="Times New Roman" w:eastAsia="楷体_GB2312"/>
          <w:bCs/>
          <w:sz w:val="32"/>
          <w:szCs w:val="32"/>
        </w:rPr>
      </w:pPr>
      <w:r>
        <w:rPr>
          <w:rFonts w:hint="eastAsia" w:ascii="楷体_GB2312" w:hAnsi="Times New Roman" w:eastAsia="楷体_GB2312"/>
          <w:bCs/>
          <w:sz w:val="32"/>
          <w:szCs w:val="32"/>
        </w:rPr>
        <w:t>（四）复审期限</w:t>
      </w:r>
    </w:p>
    <w:p w14:paraId="7648D461">
      <w:pPr>
        <w:pStyle w:val="12"/>
        <w:widowControl w:val="0"/>
        <w:overflowPunct w:val="0"/>
        <w:autoSpaceDE w:val="0"/>
        <w:autoSpaceDN w:val="0"/>
        <w:adjustRightInd w:val="0"/>
        <w:snapToGrid w:val="0"/>
        <w:spacing w:line="570" w:lineRule="exact"/>
        <w:jc w:val="both"/>
        <w:rPr>
          <w:rFonts w:ascii="仿宋_GB2312" w:hAnsi="Times New Roman" w:eastAsia="仿宋_GB2312"/>
          <w:sz w:val="32"/>
          <w:szCs w:val="32"/>
        </w:rPr>
      </w:pPr>
      <w:r>
        <w:rPr>
          <w:rFonts w:hint="eastAsia" w:ascii="仿宋_GB2312" w:hAnsi="Times New Roman" w:eastAsia="仿宋_GB2312"/>
          <w:bCs/>
          <w:sz w:val="32"/>
          <w:szCs w:val="32"/>
        </w:rPr>
        <w:t xml:space="preserve">    </w:t>
      </w:r>
      <w:r>
        <w:rPr>
          <w:rFonts w:hint="eastAsia" w:ascii="仿宋_GB2312" w:hAnsi="仿宋_GB2312" w:eastAsia="仿宋_GB2312"/>
          <w:bCs/>
          <w:sz w:val="32"/>
          <w:szCs w:val="32"/>
        </w:rPr>
        <w:t>每</w:t>
      </w:r>
      <w:r>
        <w:rPr>
          <w:rFonts w:hint="eastAsia" w:ascii="仿宋_GB2312" w:hAnsi="Times New Roman" w:eastAsia="仿宋_GB2312"/>
          <w:bCs/>
          <w:sz w:val="32"/>
          <w:szCs w:val="32"/>
        </w:rPr>
        <w:t>5</w:t>
      </w:r>
      <w:r>
        <w:rPr>
          <w:rFonts w:hint="eastAsia" w:ascii="仿宋_GB2312" w:hAnsi="仿宋_GB2312" w:eastAsia="仿宋_GB2312"/>
          <w:bCs/>
          <w:sz w:val="32"/>
          <w:szCs w:val="32"/>
        </w:rPr>
        <w:t>年复审一次。</w:t>
      </w:r>
    </w:p>
    <w:p w14:paraId="36B101B7">
      <w:pPr>
        <w:overflowPunct w:val="0"/>
        <w:autoSpaceDE w:val="0"/>
        <w:autoSpaceDN w:val="0"/>
        <w:adjustRightInd w:val="0"/>
        <w:snapToGrid w:val="0"/>
        <w:spacing w:line="570" w:lineRule="exact"/>
        <w:rPr>
          <w:rFonts w:ascii="黑体" w:hAnsi="黑体" w:eastAsia="黑体"/>
          <w:sz w:val="32"/>
          <w:szCs w:val="32"/>
          <w:u w:val="single"/>
        </w:rPr>
      </w:pPr>
      <w:r>
        <w:rPr>
          <w:rFonts w:hint="eastAsia" w:ascii="仿宋_GB2312" w:hAnsi="Times New Roman" w:eastAsia="仿宋_GB2312"/>
          <w:sz w:val="32"/>
          <w:szCs w:val="32"/>
        </w:rPr>
        <w:t xml:space="preserve">    </w:t>
      </w:r>
      <w:r>
        <w:rPr>
          <w:rFonts w:hint="eastAsia" w:ascii="黑体" w:hAnsi="黑体" w:eastAsia="黑体"/>
          <w:sz w:val="32"/>
          <w:szCs w:val="32"/>
        </w:rPr>
        <w:t>十、</w:t>
      </w:r>
      <w:r>
        <w:rPr>
          <w:rFonts w:hint="eastAsia" w:ascii="黑体" w:hAnsi="黑体" w:eastAsia="黑体"/>
          <w:sz w:val="32"/>
          <w:szCs w:val="32"/>
          <w:lang w:val="zh-CN"/>
        </w:rPr>
        <w:t>脑血管病后遗症</w:t>
      </w:r>
    </w:p>
    <w:p w14:paraId="1B9C31F4">
      <w:pPr>
        <w:overflowPunct w:val="0"/>
        <w:autoSpaceDE w:val="0"/>
        <w:autoSpaceDN w:val="0"/>
        <w:adjustRightInd w:val="0"/>
        <w:snapToGrid w:val="0"/>
        <w:spacing w:line="570" w:lineRule="exact"/>
        <w:ind w:firstLine="630" w:firstLineChars="197"/>
        <w:rPr>
          <w:rFonts w:ascii="楷体_GB2312" w:hAnsi="Times New Roman" w:eastAsia="楷体_GB2312"/>
          <w:bCs/>
          <w:sz w:val="32"/>
          <w:szCs w:val="32"/>
        </w:rPr>
      </w:pPr>
      <w:r>
        <w:rPr>
          <w:rFonts w:hint="eastAsia" w:ascii="楷体_GB2312" w:hAnsi="Times New Roman" w:eastAsia="楷体_GB2312"/>
          <w:bCs/>
          <w:sz w:val="32"/>
          <w:szCs w:val="32"/>
        </w:rPr>
        <w:t>（一）申报资料</w:t>
      </w:r>
    </w:p>
    <w:p w14:paraId="1E3656CF">
      <w:pPr>
        <w:overflowPunct w:val="0"/>
        <w:autoSpaceDE w:val="0"/>
        <w:autoSpaceDN w:val="0"/>
        <w:adjustRightInd w:val="0"/>
        <w:snapToGrid w:val="0"/>
        <w:spacing w:line="570" w:lineRule="exact"/>
        <w:rPr>
          <w:rFonts w:ascii="仿宋_GB2312" w:hAnsi="Times New Roman" w:eastAsia="仿宋_GB2312"/>
          <w:sz w:val="32"/>
          <w:szCs w:val="32"/>
        </w:rPr>
      </w:pPr>
      <w:r>
        <w:rPr>
          <w:rFonts w:hint="eastAsia" w:ascii="仿宋_GB2312" w:hAnsi="Times New Roman" w:eastAsia="仿宋_GB2312"/>
          <w:sz w:val="32"/>
          <w:szCs w:val="32"/>
        </w:rPr>
        <w:t xml:space="preserve">    1.</w:t>
      </w:r>
      <w:r>
        <w:rPr>
          <w:rFonts w:hint="eastAsia" w:ascii="仿宋_GB2312" w:hAnsi="仿宋_GB2312" w:eastAsia="仿宋_GB2312"/>
          <w:sz w:val="32"/>
          <w:szCs w:val="32"/>
        </w:rPr>
        <w:t>初次申办者须提供患者本人在医保定点医疗机构证明脑血管病的住院病历，包含相关的临床资料，包括病史、症状、体征等；</w:t>
      </w:r>
    </w:p>
    <w:p w14:paraId="252B92EA">
      <w:pPr>
        <w:overflowPunct w:val="0"/>
        <w:autoSpaceDE w:val="0"/>
        <w:autoSpaceDN w:val="0"/>
        <w:adjustRightInd w:val="0"/>
        <w:snapToGrid w:val="0"/>
        <w:spacing w:line="570" w:lineRule="exact"/>
        <w:ind w:firstLine="640"/>
        <w:rPr>
          <w:rFonts w:ascii="仿宋_GB2312" w:hAnsi="Times New Roman" w:eastAsia="仿宋_GB2312"/>
          <w:sz w:val="32"/>
          <w:szCs w:val="32"/>
        </w:rPr>
      </w:pPr>
      <w:r>
        <w:rPr>
          <w:rFonts w:hint="eastAsia" w:ascii="仿宋_GB2312" w:hAnsi="Times New Roman" w:eastAsia="仿宋_GB2312"/>
          <w:sz w:val="32"/>
          <w:szCs w:val="32"/>
        </w:rPr>
        <w:t>2.</w:t>
      </w:r>
      <w:r>
        <w:rPr>
          <w:rFonts w:hint="eastAsia" w:ascii="仿宋_GB2312" w:hAnsi="仿宋_GB2312" w:eastAsia="仿宋_GB2312"/>
          <w:sz w:val="32"/>
          <w:szCs w:val="32"/>
        </w:rPr>
        <w:t>辅助检查资料：头部</w:t>
      </w:r>
      <w:r>
        <w:rPr>
          <w:rFonts w:hint="eastAsia" w:ascii="仿宋_GB2312" w:hAnsi="Times New Roman" w:eastAsia="仿宋_GB2312"/>
          <w:sz w:val="32"/>
          <w:szCs w:val="32"/>
        </w:rPr>
        <w:t>CT</w:t>
      </w:r>
      <w:r>
        <w:rPr>
          <w:rFonts w:hint="eastAsia" w:ascii="仿宋_GB2312" w:hAnsi="仿宋_GB2312" w:eastAsia="仿宋_GB2312"/>
          <w:sz w:val="32"/>
          <w:szCs w:val="32"/>
        </w:rPr>
        <w:t>或</w:t>
      </w:r>
      <w:r>
        <w:rPr>
          <w:rFonts w:hint="eastAsia" w:ascii="仿宋_GB2312" w:hAnsi="Times New Roman" w:eastAsia="仿宋_GB2312"/>
          <w:sz w:val="32"/>
          <w:szCs w:val="32"/>
        </w:rPr>
        <w:t>MRI</w:t>
      </w:r>
      <w:r>
        <w:rPr>
          <w:rFonts w:hint="eastAsia" w:ascii="仿宋_GB2312" w:hAnsi="仿宋_GB2312" w:eastAsia="仿宋_GB2312"/>
          <w:sz w:val="32"/>
          <w:szCs w:val="32"/>
        </w:rPr>
        <w:t>；</w:t>
      </w:r>
    </w:p>
    <w:p w14:paraId="328FCA69">
      <w:pPr>
        <w:overflowPunct w:val="0"/>
        <w:autoSpaceDE w:val="0"/>
        <w:autoSpaceDN w:val="0"/>
        <w:adjustRightInd w:val="0"/>
        <w:snapToGrid w:val="0"/>
        <w:spacing w:line="570" w:lineRule="exact"/>
        <w:ind w:firstLine="640"/>
        <w:rPr>
          <w:rFonts w:ascii="仿宋_GB2312" w:hAnsi="Times New Roman" w:eastAsia="仿宋_GB2312"/>
          <w:sz w:val="32"/>
          <w:szCs w:val="32"/>
        </w:rPr>
      </w:pPr>
      <w:r>
        <w:rPr>
          <w:rFonts w:hint="eastAsia" w:ascii="仿宋_GB2312" w:hAnsi="Times New Roman" w:eastAsia="仿宋_GB2312"/>
          <w:sz w:val="32"/>
          <w:szCs w:val="32"/>
        </w:rPr>
        <w:t>3.</w:t>
      </w:r>
      <w:r>
        <w:rPr>
          <w:rFonts w:hint="eastAsia" w:ascii="仿宋_GB2312" w:hAnsi="仿宋_GB2312" w:eastAsia="仿宋_GB2312"/>
          <w:sz w:val="32"/>
          <w:szCs w:val="32"/>
        </w:rPr>
        <w:t>二级及以上医保定点医疗机构神经内科副主任医师（含副主任医师）及以上签名的治疗计划。</w:t>
      </w:r>
    </w:p>
    <w:p w14:paraId="47B06DD4">
      <w:pPr>
        <w:overflowPunct w:val="0"/>
        <w:autoSpaceDE w:val="0"/>
        <w:autoSpaceDN w:val="0"/>
        <w:adjustRightInd w:val="0"/>
        <w:snapToGrid w:val="0"/>
        <w:spacing w:line="570" w:lineRule="exact"/>
        <w:ind w:firstLine="630" w:firstLineChars="197"/>
        <w:rPr>
          <w:rFonts w:ascii="楷体_GB2312" w:hAnsi="Times New Roman" w:eastAsia="楷体_GB2312"/>
          <w:bCs/>
          <w:sz w:val="32"/>
          <w:szCs w:val="32"/>
        </w:rPr>
      </w:pPr>
      <w:r>
        <w:rPr>
          <w:rFonts w:hint="eastAsia" w:ascii="楷体_GB2312" w:hAnsi="Times New Roman" w:eastAsia="楷体_GB2312"/>
          <w:bCs/>
          <w:sz w:val="32"/>
          <w:szCs w:val="32"/>
        </w:rPr>
        <w:t>（二）治疗指征（认定标准）</w:t>
      </w:r>
    </w:p>
    <w:p w14:paraId="232866DB">
      <w:pPr>
        <w:overflowPunct w:val="0"/>
        <w:autoSpaceDE w:val="0"/>
        <w:autoSpaceDN w:val="0"/>
        <w:adjustRightInd w:val="0"/>
        <w:snapToGrid w:val="0"/>
        <w:spacing w:line="570" w:lineRule="exact"/>
        <w:ind w:firstLine="640" w:firstLineChars="200"/>
        <w:rPr>
          <w:rFonts w:ascii="仿宋_GB2312" w:hAnsi="Times New Roman" w:eastAsia="仿宋_GB2312"/>
          <w:sz w:val="32"/>
          <w:szCs w:val="32"/>
        </w:rPr>
      </w:pPr>
      <w:r>
        <w:rPr>
          <w:rFonts w:hint="eastAsia" w:ascii="仿宋_GB2312" w:hAnsi="Times New Roman" w:eastAsia="仿宋_GB2312"/>
          <w:sz w:val="32"/>
          <w:szCs w:val="32"/>
        </w:rPr>
        <w:t>1.</w:t>
      </w:r>
      <w:r>
        <w:rPr>
          <w:rFonts w:hint="eastAsia" w:ascii="仿宋_GB2312" w:hAnsi="仿宋_GB2312" w:eastAsia="仿宋_GB2312"/>
          <w:sz w:val="32"/>
          <w:szCs w:val="32"/>
        </w:rPr>
        <w:t>有急性脑血管病史</w:t>
      </w:r>
      <w:r>
        <w:rPr>
          <w:rFonts w:hint="eastAsia" w:ascii="仿宋_GB2312" w:hAnsi="Times New Roman" w:eastAsia="仿宋_GB2312"/>
          <w:sz w:val="32"/>
          <w:szCs w:val="32"/>
        </w:rPr>
        <w:t>6</w:t>
      </w:r>
      <w:r>
        <w:rPr>
          <w:rFonts w:hint="eastAsia" w:ascii="仿宋_GB2312" w:hAnsi="仿宋_GB2312" w:eastAsia="仿宋_GB2312"/>
          <w:sz w:val="32"/>
          <w:szCs w:val="32"/>
        </w:rPr>
        <w:t>月以上，并经头颅</w:t>
      </w:r>
      <w:r>
        <w:rPr>
          <w:rFonts w:hint="eastAsia" w:ascii="仿宋_GB2312" w:hAnsi="Times New Roman" w:eastAsia="仿宋_GB2312"/>
          <w:sz w:val="32"/>
          <w:szCs w:val="32"/>
        </w:rPr>
        <w:t>CT</w:t>
      </w:r>
      <w:r>
        <w:rPr>
          <w:rFonts w:hint="eastAsia" w:ascii="仿宋_GB2312" w:hAnsi="仿宋_GB2312" w:eastAsia="仿宋_GB2312"/>
          <w:sz w:val="32"/>
          <w:szCs w:val="32"/>
        </w:rPr>
        <w:t>、</w:t>
      </w:r>
      <w:r>
        <w:rPr>
          <w:rFonts w:hint="eastAsia" w:ascii="仿宋_GB2312" w:hAnsi="Times New Roman" w:eastAsia="仿宋_GB2312"/>
          <w:sz w:val="32"/>
          <w:szCs w:val="32"/>
        </w:rPr>
        <w:t>MRI</w:t>
      </w:r>
      <w:r>
        <w:rPr>
          <w:rFonts w:hint="eastAsia" w:ascii="仿宋_GB2312" w:hAnsi="仿宋_GB2312" w:eastAsia="仿宋_GB2312"/>
          <w:sz w:val="32"/>
          <w:szCs w:val="32"/>
        </w:rPr>
        <w:t>明确提示病变部位；</w:t>
      </w:r>
    </w:p>
    <w:p w14:paraId="4EB05E0E">
      <w:pPr>
        <w:pStyle w:val="4"/>
        <w:overflowPunct w:val="0"/>
        <w:autoSpaceDE w:val="0"/>
        <w:autoSpaceDN w:val="0"/>
        <w:adjustRightInd w:val="0"/>
        <w:snapToGrid w:val="0"/>
        <w:spacing w:line="570" w:lineRule="exact"/>
        <w:ind w:firstLine="640" w:firstLineChars="200"/>
        <w:jc w:val="both"/>
        <w:rPr>
          <w:rFonts w:ascii="仿宋_GB2312" w:hAnsi="Times New Roman" w:eastAsia="仿宋_GB2312"/>
          <w:kern w:val="0"/>
          <w:sz w:val="32"/>
          <w:szCs w:val="32"/>
        </w:rPr>
      </w:pPr>
      <w:r>
        <w:rPr>
          <w:rFonts w:hint="eastAsia" w:ascii="仿宋_GB2312" w:hAnsi="Times New Roman" w:eastAsia="仿宋_GB2312"/>
          <w:sz w:val="32"/>
          <w:szCs w:val="32"/>
        </w:rPr>
        <w:t>2.</w:t>
      </w:r>
      <w:r>
        <w:rPr>
          <w:rFonts w:hint="eastAsia" w:ascii="仿宋_GB2312" w:hAnsi="仿宋_GB2312" w:eastAsia="仿宋_GB2312"/>
          <w:sz w:val="32"/>
          <w:szCs w:val="32"/>
        </w:rPr>
        <w:t>合并下列各项症状之一：（</w:t>
      </w:r>
      <w:r>
        <w:rPr>
          <w:rFonts w:hint="eastAsia" w:ascii="仿宋_GB2312" w:hAnsi="Times New Roman" w:eastAsia="仿宋_GB2312"/>
          <w:sz w:val="32"/>
          <w:szCs w:val="32"/>
        </w:rPr>
        <w:t>1</w:t>
      </w:r>
      <w:r>
        <w:rPr>
          <w:rFonts w:hint="eastAsia" w:ascii="仿宋_GB2312" w:hAnsi="仿宋_GB2312" w:eastAsia="仿宋_GB2312"/>
          <w:sz w:val="32"/>
          <w:szCs w:val="32"/>
        </w:rPr>
        <w:t>）偏瘫（</w:t>
      </w:r>
      <w:r>
        <w:rPr>
          <w:rFonts w:hint="eastAsia" w:ascii="仿宋_GB2312" w:hAnsi="Times New Roman" w:eastAsia="仿宋_GB2312"/>
          <w:sz w:val="32"/>
          <w:szCs w:val="32"/>
        </w:rPr>
        <w:t>2</w:t>
      </w:r>
      <w:r>
        <w:rPr>
          <w:rFonts w:hint="eastAsia" w:ascii="仿宋_GB2312" w:hAnsi="仿宋_GB2312" w:eastAsia="仿宋_GB2312"/>
          <w:sz w:val="32"/>
          <w:szCs w:val="32"/>
        </w:rPr>
        <w:t>）失语（</w:t>
      </w:r>
      <w:r>
        <w:rPr>
          <w:rFonts w:hint="eastAsia" w:ascii="仿宋_GB2312" w:hAnsi="Times New Roman" w:eastAsia="仿宋_GB2312"/>
          <w:sz w:val="32"/>
          <w:szCs w:val="32"/>
        </w:rPr>
        <w:t>3</w:t>
      </w:r>
      <w:r>
        <w:rPr>
          <w:rFonts w:hint="eastAsia" w:ascii="仿宋_GB2312" w:hAnsi="仿宋_GB2312" w:eastAsia="仿宋_GB2312"/>
          <w:sz w:val="32"/>
          <w:szCs w:val="32"/>
        </w:rPr>
        <w:t>）吞咽障碍（</w:t>
      </w:r>
      <w:r>
        <w:rPr>
          <w:rFonts w:hint="eastAsia" w:ascii="仿宋_GB2312" w:hAnsi="Times New Roman" w:eastAsia="仿宋_GB2312"/>
          <w:sz w:val="32"/>
          <w:szCs w:val="32"/>
        </w:rPr>
        <w:t>4</w:t>
      </w:r>
      <w:r>
        <w:rPr>
          <w:rFonts w:hint="eastAsia" w:ascii="仿宋_GB2312" w:hAnsi="仿宋_GB2312" w:eastAsia="仿宋_GB2312"/>
          <w:sz w:val="32"/>
          <w:szCs w:val="32"/>
        </w:rPr>
        <w:t>）共济失调（</w:t>
      </w:r>
      <w:r>
        <w:rPr>
          <w:rFonts w:hint="eastAsia" w:ascii="仿宋_GB2312" w:hAnsi="Times New Roman" w:eastAsia="仿宋_GB2312"/>
          <w:sz w:val="32"/>
          <w:szCs w:val="32"/>
        </w:rPr>
        <w:t>5</w:t>
      </w:r>
      <w:r>
        <w:rPr>
          <w:rFonts w:hint="eastAsia" w:ascii="仿宋_GB2312" w:hAnsi="仿宋_GB2312" w:eastAsia="仿宋_GB2312"/>
          <w:sz w:val="32"/>
          <w:szCs w:val="32"/>
        </w:rPr>
        <w:t>）血管性认知障碍达到痴呆诊断标准</w:t>
      </w:r>
      <w:r>
        <w:rPr>
          <w:rFonts w:hint="eastAsia" w:ascii="仿宋_GB2312" w:hAnsi="Times New Roman" w:eastAsia="仿宋_GB2312"/>
          <w:sz w:val="32"/>
          <w:szCs w:val="32"/>
        </w:rPr>
        <w:t>6</w:t>
      </w:r>
      <w:r>
        <w:rPr>
          <w:rFonts w:hint="eastAsia" w:ascii="仿宋_GB2312" w:hAnsi="仿宋_GB2312" w:eastAsia="仿宋_GB2312"/>
          <w:sz w:val="32"/>
          <w:szCs w:val="32"/>
        </w:rPr>
        <w:t>个月以上。</w:t>
      </w:r>
    </w:p>
    <w:p w14:paraId="5DFE00B7">
      <w:pPr>
        <w:overflowPunct w:val="0"/>
        <w:autoSpaceDE w:val="0"/>
        <w:autoSpaceDN w:val="0"/>
        <w:adjustRightInd w:val="0"/>
        <w:snapToGrid w:val="0"/>
        <w:spacing w:line="570" w:lineRule="exact"/>
        <w:ind w:firstLine="630" w:firstLineChars="197"/>
        <w:rPr>
          <w:rFonts w:ascii="楷体_GB2312" w:hAnsi="Times New Roman" w:eastAsia="楷体_GB2312"/>
          <w:bCs/>
          <w:sz w:val="32"/>
          <w:szCs w:val="32"/>
        </w:rPr>
      </w:pPr>
      <w:r>
        <w:rPr>
          <w:rFonts w:hint="eastAsia" w:ascii="楷体_GB2312" w:hAnsi="Times New Roman" w:eastAsia="楷体_GB2312"/>
          <w:bCs/>
          <w:sz w:val="32"/>
          <w:szCs w:val="32"/>
        </w:rPr>
        <w:t>（三）门诊诊疗范围</w:t>
      </w:r>
    </w:p>
    <w:p w14:paraId="779B2C45">
      <w:pPr>
        <w:overflowPunct w:val="0"/>
        <w:autoSpaceDE w:val="0"/>
        <w:autoSpaceDN w:val="0"/>
        <w:adjustRightInd w:val="0"/>
        <w:snapToGrid w:val="0"/>
        <w:spacing w:line="570" w:lineRule="exact"/>
        <w:rPr>
          <w:rFonts w:ascii="仿宋_GB2312" w:hAnsi="Times New Roman" w:eastAsia="仿宋_GB2312"/>
          <w:kern w:val="0"/>
          <w:sz w:val="32"/>
          <w:szCs w:val="32"/>
          <w:shd w:val="clear" w:color="auto" w:fill="FFFFFF"/>
        </w:rPr>
      </w:pPr>
      <w:r>
        <w:rPr>
          <w:rFonts w:hint="eastAsia" w:ascii="仿宋_GB2312" w:hAnsi="Times New Roman" w:eastAsia="仿宋_GB2312"/>
          <w:kern w:val="0"/>
          <w:sz w:val="32"/>
          <w:szCs w:val="32"/>
          <w:shd w:val="clear" w:color="auto" w:fill="FFFFFF"/>
        </w:rPr>
        <w:t xml:space="preserve">    1.</w:t>
      </w:r>
      <w:r>
        <w:rPr>
          <w:rFonts w:hint="eastAsia" w:ascii="仿宋_GB2312" w:hAnsi="仿宋_GB2312" w:eastAsia="仿宋_GB2312"/>
          <w:kern w:val="0"/>
          <w:sz w:val="32"/>
          <w:szCs w:val="32"/>
          <w:shd w:val="clear" w:color="auto" w:fill="FFFFFF"/>
        </w:rPr>
        <w:t>脑血管疾病及原发疾病的相关药物治疗；</w:t>
      </w:r>
    </w:p>
    <w:p w14:paraId="33FAB050">
      <w:pPr>
        <w:overflowPunct w:val="0"/>
        <w:autoSpaceDE w:val="0"/>
        <w:autoSpaceDN w:val="0"/>
        <w:adjustRightInd w:val="0"/>
        <w:snapToGrid w:val="0"/>
        <w:spacing w:line="570" w:lineRule="exact"/>
        <w:rPr>
          <w:rFonts w:ascii="仿宋_GB2312" w:hAnsi="Times New Roman" w:eastAsia="仿宋_GB2312"/>
          <w:kern w:val="0"/>
          <w:sz w:val="32"/>
          <w:szCs w:val="32"/>
          <w:shd w:val="clear" w:color="auto" w:fill="FFFFFF"/>
        </w:rPr>
      </w:pPr>
      <w:r>
        <w:rPr>
          <w:rFonts w:hint="eastAsia" w:ascii="仿宋_GB2312" w:hAnsi="Times New Roman" w:eastAsia="仿宋_GB2312"/>
          <w:kern w:val="0"/>
          <w:sz w:val="32"/>
          <w:szCs w:val="32"/>
          <w:shd w:val="clear" w:color="auto" w:fill="FFFFFF"/>
        </w:rPr>
        <w:t xml:space="preserve">    2.</w:t>
      </w:r>
      <w:r>
        <w:rPr>
          <w:rFonts w:hint="eastAsia" w:ascii="仿宋_GB2312" w:hAnsi="仿宋_GB2312" w:eastAsia="仿宋_GB2312"/>
          <w:kern w:val="0"/>
          <w:sz w:val="32"/>
          <w:szCs w:val="32"/>
          <w:shd w:val="clear" w:color="auto" w:fill="FFFFFF"/>
        </w:rPr>
        <w:t>后遗症及并发症的药物对症治疗；</w:t>
      </w:r>
    </w:p>
    <w:p w14:paraId="4A3E8F7C">
      <w:pPr>
        <w:overflowPunct w:val="0"/>
        <w:autoSpaceDE w:val="0"/>
        <w:autoSpaceDN w:val="0"/>
        <w:adjustRightInd w:val="0"/>
        <w:snapToGrid w:val="0"/>
        <w:spacing w:line="570" w:lineRule="exact"/>
        <w:rPr>
          <w:rFonts w:ascii="仿宋_GB2312" w:hAnsi="Times New Roman" w:eastAsia="仿宋_GB2312"/>
          <w:kern w:val="0"/>
          <w:sz w:val="32"/>
          <w:szCs w:val="32"/>
        </w:rPr>
      </w:pPr>
      <w:r>
        <w:rPr>
          <w:rFonts w:hint="eastAsia" w:ascii="仿宋_GB2312" w:hAnsi="Times New Roman" w:eastAsia="仿宋_GB2312"/>
          <w:kern w:val="0"/>
          <w:sz w:val="32"/>
          <w:szCs w:val="32"/>
          <w:shd w:val="clear" w:color="auto" w:fill="FFFFFF"/>
        </w:rPr>
        <w:t xml:space="preserve">    3.</w:t>
      </w:r>
      <w:r>
        <w:rPr>
          <w:rFonts w:hint="eastAsia" w:ascii="仿宋_GB2312" w:hAnsi="仿宋_GB2312" w:eastAsia="仿宋_GB2312"/>
          <w:kern w:val="0"/>
          <w:sz w:val="32"/>
          <w:szCs w:val="32"/>
          <w:shd w:val="clear" w:color="auto" w:fill="FFFFFF"/>
        </w:rPr>
        <w:t>后遗症期治疗的相关检查。</w:t>
      </w:r>
    </w:p>
    <w:p w14:paraId="58BF5210">
      <w:pPr>
        <w:overflowPunct w:val="0"/>
        <w:autoSpaceDE w:val="0"/>
        <w:autoSpaceDN w:val="0"/>
        <w:adjustRightInd w:val="0"/>
        <w:snapToGrid w:val="0"/>
        <w:spacing w:line="570" w:lineRule="exact"/>
        <w:ind w:firstLine="630" w:firstLineChars="197"/>
        <w:rPr>
          <w:rFonts w:ascii="楷体_GB2312" w:hAnsi="Times New Roman" w:eastAsia="楷体_GB2312"/>
          <w:bCs/>
          <w:sz w:val="32"/>
          <w:szCs w:val="32"/>
        </w:rPr>
      </w:pPr>
      <w:r>
        <w:rPr>
          <w:rFonts w:hint="eastAsia" w:ascii="楷体_GB2312" w:hAnsi="Times New Roman" w:eastAsia="楷体_GB2312"/>
          <w:bCs/>
          <w:sz w:val="32"/>
          <w:szCs w:val="32"/>
        </w:rPr>
        <w:t>（四）复审期限</w:t>
      </w:r>
    </w:p>
    <w:p w14:paraId="3BEBA975">
      <w:pPr>
        <w:pStyle w:val="12"/>
        <w:widowControl w:val="0"/>
        <w:overflowPunct w:val="0"/>
        <w:autoSpaceDE w:val="0"/>
        <w:autoSpaceDN w:val="0"/>
        <w:adjustRightInd w:val="0"/>
        <w:snapToGrid w:val="0"/>
        <w:spacing w:line="570" w:lineRule="exact"/>
        <w:jc w:val="both"/>
        <w:rPr>
          <w:rFonts w:ascii="仿宋_GB2312" w:hAnsi="Times New Roman" w:eastAsia="仿宋_GB2312"/>
          <w:bCs/>
          <w:sz w:val="32"/>
          <w:szCs w:val="32"/>
        </w:rPr>
      </w:pPr>
      <w:r>
        <w:rPr>
          <w:rFonts w:hint="eastAsia" w:ascii="仿宋_GB2312" w:hAnsi="Times New Roman" w:eastAsia="仿宋_GB2312"/>
          <w:bCs/>
          <w:sz w:val="32"/>
          <w:szCs w:val="32"/>
        </w:rPr>
        <w:t xml:space="preserve">   </w:t>
      </w:r>
      <w:r>
        <w:rPr>
          <w:rFonts w:hint="eastAsia" w:ascii="仿宋_GB2312" w:hAnsi="仿宋_GB2312" w:eastAsia="仿宋_GB2312"/>
          <w:bCs/>
          <w:sz w:val="32"/>
          <w:szCs w:val="32"/>
        </w:rPr>
        <w:t>每</w:t>
      </w:r>
      <w:r>
        <w:rPr>
          <w:rFonts w:hint="eastAsia" w:ascii="仿宋_GB2312" w:hAnsi="Times New Roman" w:eastAsia="仿宋_GB2312"/>
          <w:bCs/>
          <w:sz w:val="32"/>
          <w:szCs w:val="32"/>
        </w:rPr>
        <w:t>3</w:t>
      </w:r>
      <w:r>
        <w:rPr>
          <w:rFonts w:hint="eastAsia" w:ascii="仿宋_GB2312" w:hAnsi="仿宋_GB2312" w:eastAsia="仿宋_GB2312"/>
          <w:bCs/>
          <w:sz w:val="32"/>
          <w:szCs w:val="32"/>
        </w:rPr>
        <w:t>年复审一次。</w:t>
      </w:r>
    </w:p>
    <w:p w14:paraId="3BACFC23">
      <w:pPr>
        <w:overflowPunct w:val="0"/>
        <w:autoSpaceDE w:val="0"/>
        <w:autoSpaceDN w:val="0"/>
        <w:adjustRightInd w:val="0"/>
        <w:snapToGrid w:val="0"/>
        <w:spacing w:line="570" w:lineRule="exact"/>
        <w:rPr>
          <w:rFonts w:ascii="仿宋_GB2312" w:hAnsi="Times New Roman" w:eastAsia="仿宋_GB2312"/>
          <w:kern w:val="0"/>
          <w:sz w:val="32"/>
          <w:szCs w:val="32"/>
          <w:lang w:eastAsia="zh-Hans" w:bidi="ar"/>
        </w:rPr>
      </w:pPr>
      <w:r>
        <w:rPr>
          <w:rFonts w:hint="eastAsia" w:ascii="仿宋_GB2312" w:hAnsi="Times New Roman" w:eastAsia="仿宋_GB2312"/>
          <w:bCs/>
          <w:sz w:val="32"/>
          <w:szCs w:val="32"/>
        </w:rPr>
        <w:t xml:space="preserve">    </w:t>
      </w:r>
      <w:r>
        <w:rPr>
          <w:rFonts w:hint="eastAsia" w:ascii="仿宋_GB2312" w:hAnsi="仿宋_GB2312" w:eastAsia="仿宋_GB2312"/>
          <w:bCs/>
          <w:sz w:val="32"/>
          <w:szCs w:val="32"/>
        </w:rPr>
        <w:t>备注：将血管性痴呆合并至脑血管病后遗症。</w:t>
      </w:r>
    </w:p>
    <w:p w14:paraId="0345E611">
      <w:pPr>
        <w:overflowPunct w:val="0"/>
        <w:autoSpaceDE w:val="0"/>
        <w:autoSpaceDN w:val="0"/>
        <w:adjustRightInd w:val="0"/>
        <w:snapToGrid w:val="0"/>
        <w:spacing w:line="570" w:lineRule="exact"/>
        <w:ind w:firstLine="640" w:firstLineChars="200"/>
        <w:rPr>
          <w:rFonts w:ascii="黑体" w:hAnsi="黑体" w:eastAsia="黑体"/>
          <w:kern w:val="0"/>
          <w:sz w:val="32"/>
          <w:szCs w:val="32"/>
          <w:lang w:eastAsia="zh-Hans" w:bidi="ar"/>
        </w:rPr>
      </w:pPr>
      <w:r>
        <w:rPr>
          <w:rFonts w:hint="eastAsia" w:ascii="黑体" w:hAnsi="黑体" w:eastAsia="黑体"/>
          <w:sz w:val="32"/>
          <w:szCs w:val="32"/>
        </w:rPr>
        <w:t>十一、重症肌无力</w:t>
      </w:r>
    </w:p>
    <w:p w14:paraId="55F9081B">
      <w:pPr>
        <w:overflowPunct w:val="0"/>
        <w:autoSpaceDE w:val="0"/>
        <w:autoSpaceDN w:val="0"/>
        <w:adjustRightInd w:val="0"/>
        <w:snapToGrid w:val="0"/>
        <w:spacing w:line="570" w:lineRule="exact"/>
        <w:ind w:firstLine="640" w:firstLineChars="200"/>
        <w:rPr>
          <w:rFonts w:ascii="楷体_GB2312" w:hAnsi="Times New Roman" w:eastAsia="楷体_GB2312"/>
          <w:bCs/>
          <w:sz w:val="32"/>
          <w:szCs w:val="32"/>
        </w:rPr>
      </w:pPr>
      <w:r>
        <w:rPr>
          <w:rFonts w:hint="eastAsia" w:ascii="楷体_GB2312" w:hAnsi="Times New Roman" w:eastAsia="楷体_GB2312"/>
          <w:bCs/>
          <w:sz w:val="32"/>
          <w:szCs w:val="32"/>
        </w:rPr>
        <w:t>（一）申报资料</w:t>
      </w:r>
    </w:p>
    <w:p w14:paraId="4CAB96D1">
      <w:pPr>
        <w:pStyle w:val="17"/>
        <w:overflowPunct w:val="0"/>
        <w:autoSpaceDE w:val="0"/>
        <w:autoSpaceDN w:val="0"/>
        <w:adjustRightInd w:val="0"/>
        <w:snapToGrid w:val="0"/>
        <w:spacing w:line="570" w:lineRule="exact"/>
        <w:ind w:firstLine="0" w:firstLineChars="0"/>
        <w:rPr>
          <w:rFonts w:ascii="仿宋_GB2312" w:hAnsi="Times New Roman" w:eastAsia="仿宋_GB2312"/>
          <w:sz w:val="32"/>
          <w:szCs w:val="32"/>
          <w:shd w:val="clear" w:color="auto" w:fill="FFFFFF"/>
        </w:rPr>
      </w:pPr>
      <w:r>
        <w:rPr>
          <w:rFonts w:hint="eastAsia" w:ascii="仿宋_GB2312" w:hAnsi="Times New Roman" w:eastAsia="仿宋_GB2312"/>
          <w:sz w:val="32"/>
          <w:szCs w:val="32"/>
          <w:shd w:val="clear" w:color="auto" w:fill="FFFFFF"/>
        </w:rPr>
        <w:t xml:space="preserve">    1.初次申办者须提供患者本人近3月内与所申报病种相符合的住院病历，待遇期满续办者提供既往的与所申报病种相符合的住院病历和近期的门诊病历或医保定点医疗机构的体检资料；</w:t>
      </w:r>
    </w:p>
    <w:p w14:paraId="52A400E8">
      <w:pPr>
        <w:pStyle w:val="17"/>
        <w:overflowPunct w:val="0"/>
        <w:autoSpaceDE w:val="0"/>
        <w:autoSpaceDN w:val="0"/>
        <w:adjustRightInd w:val="0"/>
        <w:snapToGrid w:val="0"/>
        <w:spacing w:line="570" w:lineRule="exact"/>
        <w:ind w:firstLine="640"/>
        <w:rPr>
          <w:rFonts w:ascii="仿宋_GB2312" w:hAnsi="Times New Roman" w:eastAsia="仿宋_GB2312"/>
          <w:sz w:val="32"/>
          <w:szCs w:val="32"/>
          <w:shd w:val="clear" w:color="auto" w:fill="FFFFFF"/>
        </w:rPr>
      </w:pPr>
      <w:r>
        <w:rPr>
          <w:rFonts w:hint="eastAsia" w:ascii="仿宋_GB2312" w:hAnsi="Times New Roman" w:eastAsia="仿宋_GB2312"/>
          <w:sz w:val="32"/>
          <w:szCs w:val="32"/>
          <w:shd w:val="clear" w:color="auto" w:fill="FFFFFF"/>
        </w:rPr>
        <w:t>2.二级及以上医保定点医疗机构神经内科副主任医师（含副主任医师）诊疗计划。</w:t>
      </w:r>
    </w:p>
    <w:p w14:paraId="124B9680">
      <w:pPr>
        <w:overflowPunct w:val="0"/>
        <w:autoSpaceDE w:val="0"/>
        <w:autoSpaceDN w:val="0"/>
        <w:adjustRightInd w:val="0"/>
        <w:snapToGrid w:val="0"/>
        <w:spacing w:line="570" w:lineRule="exact"/>
        <w:ind w:firstLine="640" w:firstLineChars="200"/>
        <w:rPr>
          <w:rFonts w:ascii="楷体_GB2312" w:hAnsi="Times New Roman" w:eastAsia="楷体_GB2312"/>
          <w:bCs/>
          <w:sz w:val="32"/>
          <w:szCs w:val="32"/>
        </w:rPr>
      </w:pPr>
      <w:r>
        <w:rPr>
          <w:rFonts w:hint="eastAsia" w:ascii="楷体_GB2312" w:hAnsi="Times New Roman" w:eastAsia="楷体_GB2312"/>
          <w:bCs/>
          <w:sz w:val="32"/>
          <w:szCs w:val="32"/>
        </w:rPr>
        <w:t>（二）治疗指征（认定标准）</w:t>
      </w:r>
    </w:p>
    <w:p w14:paraId="39D6ED16">
      <w:pPr>
        <w:pStyle w:val="17"/>
        <w:overflowPunct w:val="0"/>
        <w:autoSpaceDE w:val="0"/>
        <w:autoSpaceDN w:val="0"/>
        <w:adjustRightInd w:val="0"/>
        <w:snapToGrid w:val="0"/>
        <w:spacing w:line="570" w:lineRule="exact"/>
        <w:ind w:firstLine="640"/>
        <w:rPr>
          <w:rFonts w:ascii="仿宋_GB2312" w:hAnsi="Times New Roman" w:eastAsia="仿宋_GB2312"/>
          <w:sz w:val="32"/>
          <w:szCs w:val="32"/>
          <w:shd w:val="clear" w:color="auto" w:fill="FFFFFF"/>
        </w:rPr>
      </w:pPr>
      <w:r>
        <w:rPr>
          <w:rFonts w:hint="eastAsia" w:ascii="仿宋_GB2312" w:hAnsi="Times New Roman" w:eastAsia="仿宋_GB2312"/>
          <w:sz w:val="32"/>
          <w:szCs w:val="32"/>
          <w:shd w:val="clear" w:color="auto" w:fill="FFFFFF"/>
        </w:rPr>
        <w:t>1.临床表现符合国内指南“重症肌无力”诊断；</w:t>
      </w:r>
    </w:p>
    <w:p w14:paraId="34EAF7D0">
      <w:pPr>
        <w:overflowPunct w:val="0"/>
        <w:autoSpaceDE w:val="0"/>
        <w:autoSpaceDN w:val="0"/>
        <w:adjustRightInd w:val="0"/>
        <w:snapToGrid w:val="0"/>
        <w:spacing w:line="570" w:lineRule="exact"/>
        <w:ind w:firstLine="636"/>
        <w:rPr>
          <w:rFonts w:ascii="仿宋_GB2312" w:hAnsi="Times New Roman" w:eastAsia="仿宋_GB2312"/>
          <w:sz w:val="32"/>
          <w:szCs w:val="32"/>
          <w:shd w:val="clear" w:color="auto" w:fill="FFFFFF"/>
        </w:rPr>
      </w:pPr>
      <w:r>
        <w:rPr>
          <w:rFonts w:hint="eastAsia" w:ascii="仿宋_GB2312" w:hAnsi="Times New Roman" w:eastAsia="仿宋_GB2312"/>
          <w:sz w:val="32"/>
          <w:szCs w:val="32"/>
          <w:shd w:val="clear" w:color="auto" w:fill="FFFFFF"/>
        </w:rPr>
        <w:t>2.重症肌无力自身抗体或神经肌肉电生理检查或胸腺影像学等其中的一项。</w:t>
      </w:r>
    </w:p>
    <w:p w14:paraId="02756713">
      <w:pPr>
        <w:overflowPunct w:val="0"/>
        <w:autoSpaceDE w:val="0"/>
        <w:autoSpaceDN w:val="0"/>
        <w:adjustRightInd w:val="0"/>
        <w:snapToGrid w:val="0"/>
        <w:spacing w:line="570" w:lineRule="exact"/>
        <w:ind w:firstLine="636"/>
        <w:rPr>
          <w:rFonts w:ascii="仿宋_GB2312" w:hAnsi="Times New Roman" w:eastAsia="仿宋_GB2312"/>
          <w:sz w:val="32"/>
          <w:szCs w:val="32"/>
        </w:rPr>
      </w:pPr>
      <w:r>
        <w:rPr>
          <w:rFonts w:hint="eastAsia" w:ascii="仿宋_GB2312" w:hAnsi="Times New Roman" w:eastAsia="仿宋_GB2312"/>
          <w:sz w:val="32"/>
          <w:szCs w:val="32"/>
          <w:shd w:val="clear" w:color="auto" w:fill="FFFFFF"/>
        </w:rPr>
        <w:t>3.</w:t>
      </w:r>
      <w:r>
        <w:rPr>
          <w:rFonts w:hint="eastAsia" w:ascii="仿宋_GB2312" w:hAnsi="Times New Roman" w:eastAsia="仿宋_GB2312"/>
          <w:sz w:val="32"/>
          <w:szCs w:val="32"/>
        </w:rPr>
        <w:t>需长期门诊维持治疗者。</w:t>
      </w:r>
    </w:p>
    <w:p w14:paraId="1FAB8B8F">
      <w:pPr>
        <w:overflowPunct w:val="0"/>
        <w:autoSpaceDE w:val="0"/>
        <w:autoSpaceDN w:val="0"/>
        <w:adjustRightInd w:val="0"/>
        <w:snapToGrid w:val="0"/>
        <w:spacing w:line="570" w:lineRule="exact"/>
        <w:ind w:firstLine="640" w:firstLineChars="200"/>
        <w:rPr>
          <w:rFonts w:ascii="仿宋_GB2312" w:hAnsi="Times New Roman" w:eastAsia="仿宋_GB2312"/>
          <w:bCs/>
          <w:sz w:val="32"/>
          <w:szCs w:val="32"/>
        </w:rPr>
      </w:pPr>
      <w:r>
        <w:rPr>
          <w:rFonts w:hint="eastAsia" w:ascii="楷体_GB2312" w:hAnsi="Times New Roman" w:eastAsia="楷体_GB2312"/>
          <w:bCs/>
          <w:sz w:val="32"/>
          <w:szCs w:val="32"/>
        </w:rPr>
        <w:t>（三）门诊诊疗范围</w:t>
      </w:r>
    </w:p>
    <w:p w14:paraId="2A43A83A">
      <w:pPr>
        <w:pStyle w:val="17"/>
        <w:overflowPunct w:val="0"/>
        <w:autoSpaceDE w:val="0"/>
        <w:autoSpaceDN w:val="0"/>
        <w:adjustRightInd w:val="0"/>
        <w:snapToGrid w:val="0"/>
        <w:spacing w:line="570" w:lineRule="exact"/>
        <w:ind w:firstLine="0" w:firstLineChars="0"/>
        <w:rPr>
          <w:rFonts w:ascii="仿宋_GB2312" w:hAnsi="Times New Roman" w:eastAsia="仿宋_GB2312"/>
          <w:sz w:val="32"/>
          <w:szCs w:val="32"/>
          <w:shd w:val="clear" w:color="auto" w:fill="FFFFFF"/>
        </w:rPr>
      </w:pPr>
      <w:r>
        <w:rPr>
          <w:rFonts w:hint="eastAsia" w:ascii="仿宋_GB2312" w:hAnsi="Times New Roman" w:eastAsia="仿宋_GB2312"/>
          <w:sz w:val="32"/>
          <w:szCs w:val="32"/>
          <w:shd w:val="clear" w:color="auto" w:fill="FFFFFF"/>
        </w:rPr>
        <w:t xml:space="preserve">    1.胆碱酯酶抑制剂；</w:t>
      </w:r>
    </w:p>
    <w:p w14:paraId="5C6A3AFD">
      <w:pPr>
        <w:pStyle w:val="17"/>
        <w:overflowPunct w:val="0"/>
        <w:autoSpaceDE w:val="0"/>
        <w:autoSpaceDN w:val="0"/>
        <w:adjustRightInd w:val="0"/>
        <w:snapToGrid w:val="0"/>
        <w:spacing w:line="570" w:lineRule="exact"/>
        <w:ind w:firstLine="640"/>
        <w:rPr>
          <w:rFonts w:ascii="仿宋_GB2312" w:hAnsi="Times New Roman" w:eastAsia="仿宋_GB2312"/>
          <w:sz w:val="32"/>
          <w:szCs w:val="32"/>
          <w:shd w:val="clear" w:color="auto" w:fill="FFFFFF"/>
        </w:rPr>
      </w:pPr>
      <w:r>
        <w:rPr>
          <w:rFonts w:hint="eastAsia" w:ascii="仿宋_GB2312" w:hAnsi="Times New Roman" w:eastAsia="仿宋_GB2312"/>
          <w:sz w:val="32"/>
          <w:szCs w:val="32"/>
          <w:shd w:val="clear" w:color="auto" w:fill="FFFFFF"/>
        </w:rPr>
        <w:t>2.口服免疫抑制剂（如硫唑嘌呤和他克莫司等）；</w:t>
      </w:r>
    </w:p>
    <w:p w14:paraId="2171CF41">
      <w:pPr>
        <w:pStyle w:val="17"/>
        <w:overflowPunct w:val="0"/>
        <w:autoSpaceDE w:val="0"/>
        <w:autoSpaceDN w:val="0"/>
        <w:adjustRightInd w:val="0"/>
        <w:snapToGrid w:val="0"/>
        <w:spacing w:line="570" w:lineRule="exact"/>
        <w:ind w:firstLine="640"/>
        <w:rPr>
          <w:rFonts w:ascii="仿宋_GB2312" w:hAnsi="Times New Roman" w:eastAsia="仿宋_GB2312"/>
          <w:sz w:val="32"/>
          <w:szCs w:val="32"/>
          <w:shd w:val="clear" w:color="auto" w:fill="FFFFFF"/>
        </w:rPr>
      </w:pPr>
      <w:r>
        <w:rPr>
          <w:rFonts w:hint="eastAsia" w:ascii="仿宋_GB2312" w:hAnsi="Times New Roman" w:eastAsia="仿宋_GB2312"/>
          <w:sz w:val="32"/>
          <w:szCs w:val="32"/>
          <w:shd w:val="clear" w:color="auto" w:fill="FFFFFF"/>
        </w:rPr>
        <w:t>3.生物靶向制剂，如国内外指南高等级推荐的单抗类药物：利妥昔单抗等；</w:t>
      </w:r>
    </w:p>
    <w:p w14:paraId="4750333D">
      <w:pPr>
        <w:pStyle w:val="17"/>
        <w:overflowPunct w:val="0"/>
        <w:autoSpaceDE w:val="0"/>
        <w:autoSpaceDN w:val="0"/>
        <w:adjustRightInd w:val="0"/>
        <w:snapToGrid w:val="0"/>
        <w:spacing w:line="570" w:lineRule="exact"/>
        <w:ind w:firstLine="640"/>
        <w:rPr>
          <w:rFonts w:ascii="仿宋_GB2312" w:hAnsi="Times New Roman" w:eastAsia="仿宋_GB2312"/>
          <w:sz w:val="32"/>
          <w:szCs w:val="32"/>
          <w:shd w:val="clear" w:color="auto" w:fill="FFFFFF"/>
        </w:rPr>
      </w:pPr>
      <w:r>
        <w:rPr>
          <w:rFonts w:hint="eastAsia" w:ascii="仿宋_GB2312" w:hAnsi="Times New Roman" w:eastAsia="仿宋_GB2312"/>
          <w:sz w:val="32"/>
          <w:szCs w:val="32"/>
          <w:shd w:val="clear" w:color="auto" w:fill="FFFFFF"/>
        </w:rPr>
        <w:t>4.防止及治疗并发症的相关药物；</w:t>
      </w:r>
    </w:p>
    <w:p w14:paraId="37599D39">
      <w:pPr>
        <w:pStyle w:val="17"/>
        <w:overflowPunct w:val="0"/>
        <w:autoSpaceDE w:val="0"/>
        <w:autoSpaceDN w:val="0"/>
        <w:adjustRightInd w:val="0"/>
        <w:snapToGrid w:val="0"/>
        <w:spacing w:line="570" w:lineRule="exact"/>
        <w:ind w:firstLine="640"/>
        <w:rPr>
          <w:rFonts w:ascii="仿宋_GB2312" w:hAnsi="Times New Roman" w:eastAsia="仿宋_GB2312"/>
          <w:kern w:val="0"/>
          <w:sz w:val="32"/>
          <w:szCs w:val="32"/>
        </w:rPr>
      </w:pPr>
      <w:r>
        <w:rPr>
          <w:rFonts w:hint="eastAsia" w:ascii="仿宋_GB2312" w:hAnsi="Times New Roman" w:eastAsia="仿宋_GB2312"/>
          <w:sz w:val="32"/>
          <w:szCs w:val="32"/>
          <w:shd w:val="clear" w:color="auto" w:fill="FFFFFF"/>
        </w:rPr>
        <w:t>5.治疗期间的相关检查。</w:t>
      </w:r>
    </w:p>
    <w:p w14:paraId="6C56D0C5">
      <w:pPr>
        <w:overflowPunct w:val="0"/>
        <w:autoSpaceDE w:val="0"/>
        <w:autoSpaceDN w:val="0"/>
        <w:adjustRightInd w:val="0"/>
        <w:snapToGrid w:val="0"/>
        <w:spacing w:line="570" w:lineRule="exact"/>
        <w:ind w:firstLine="630" w:firstLineChars="197"/>
        <w:rPr>
          <w:rFonts w:ascii="楷体_GB2312" w:hAnsi="Times New Roman" w:eastAsia="楷体_GB2312"/>
          <w:bCs/>
          <w:sz w:val="32"/>
          <w:szCs w:val="32"/>
        </w:rPr>
      </w:pPr>
      <w:r>
        <w:rPr>
          <w:rFonts w:hint="eastAsia" w:ascii="楷体_GB2312" w:hAnsi="Times New Roman" w:eastAsia="楷体_GB2312"/>
          <w:bCs/>
          <w:sz w:val="32"/>
          <w:szCs w:val="32"/>
        </w:rPr>
        <w:t>（四）复审期限</w:t>
      </w:r>
    </w:p>
    <w:p w14:paraId="0B0E959A">
      <w:pPr>
        <w:pStyle w:val="12"/>
        <w:widowControl w:val="0"/>
        <w:overflowPunct w:val="0"/>
        <w:autoSpaceDE w:val="0"/>
        <w:autoSpaceDN w:val="0"/>
        <w:adjustRightInd w:val="0"/>
        <w:snapToGrid w:val="0"/>
        <w:spacing w:line="570" w:lineRule="exact"/>
        <w:jc w:val="both"/>
        <w:rPr>
          <w:rFonts w:ascii="仿宋_GB2312" w:hAnsi="仿宋_GB2312" w:eastAsia="仿宋_GB2312"/>
          <w:bCs/>
          <w:sz w:val="32"/>
          <w:szCs w:val="32"/>
        </w:rPr>
      </w:pPr>
      <w:r>
        <w:rPr>
          <w:rFonts w:hint="eastAsia" w:ascii="仿宋_GB2312" w:hAnsi="Times New Roman" w:eastAsia="仿宋_GB2312"/>
          <w:bCs/>
          <w:sz w:val="32"/>
          <w:szCs w:val="32"/>
        </w:rPr>
        <w:t xml:space="preserve">   </w:t>
      </w:r>
      <w:r>
        <w:rPr>
          <w:rFonts w:hint="eastAsia" w:ascii="仿宋_GB2312" w:hAnsi="仿宋_GB2312" w:eastAsia="仿宋_GB2312"/>
          <w:bCs/>
          <w:sz w:val="32"/>
          <w:szCs w:val="32"/>
        </w:rPr>
        <w:t>每</w:t>
      </w:r>
      <w:r>
        <w:rPr>
          <w:rFonts w:hint="eastAsia" w:ascii="仿宋_GB2312" w:hAnsi="Times New Roman" w:eastAsia="仿宋_GB2312"/>
          <w:bCs/>
          <w:sz w:val="32"/>
          <w:szCs w:val="32"/>
        </w:rPr>
        <w:t>3</w:t>
      </w:r>
      <w:r>
        <w:rPr>
          <w:rFonts w:hint="eastAsia" w:ascii="仿宋_GB2312" w:hAnsi="仿宋_GB2312" w:eastAsia="仿宋_GB2312"/>
          <w:bCs/>
          <w:sz w:val="32"/>
          <w:szCs w:val="32"/>
        </w:rPr>
        <w:t>年复审一次。</w:t>
      </w:r>
    </w:p>
    <w:p w14:paraId="3C107A11">
      <w:pPr>
        <w:pStyle w:val="12"/>
        <w:widowControl w:val="0"/>
        <w:overflowPunct w:val="0"/>
        <w:autoSpaceDE w:val="0"/>
        <w:autoSpaceDN w:val="0"/>
        <w:adjustRightInd w:val="0"/>
        <w:snapToGrid w:val="0"/>
        <w:spacing w:line="570" w:lineRule="exact"/>
        <w:ind w:firstLine="640" w:firstLineChars="200"/>
        <w:jc w:val="both"/>
        <w:rPr>
          <w:rFonts w:ascii="黑体" w:hAnsi="黑体" w:eastAsia="黑体"/>
          <w:sz w:val="32"/>
          <w:szCs w:val="32"/>
        </w:rPr>
      </w:pPr>
      <w:r>
        <w:rPr>
          <w:rFonts w:hint="eastAsia" w:ascii="黑体" w:hAnsi="黑体" w:eastAsia="黑体"/>
          <w:sz w:val="32"/>
          <w:szCs w:val="32"/>
        </w:rPr>
        <w:t>十二、</w:t>
      </w:r>
      <w:r>
        <w:rPr>
          <w:rFonts w:hint="eastAsia" w:ascii="黑体" w:hAnsi="黑体" w:eastAsia="黑体"/>
          <w:sz w:val="32"/>
          <w:szCs w:val="32"/>
          <w:lang w:bidi="ar"/>
        </w:rPr>
        <w:t>阿尔兹海默病</w:t>
      </w:r>
    </w:p>
    <w:p w14:paraId="581C219A">
      <w:pPr>
        <w:overflowPunct w:val="0"/>
        <w:autoSpaceDE w:val="0"/>
        <w:autoSpaceDN w:val="0"/>
        <w:adjustRightInd w:val="0"/>
        <w:snapToGrid w:val="0"/>
        <w:spacing w:line="570" w:lineRule="exact"/>
        <w:ind w:firstLine="630" w:firstLineChars="197"/>
        <w:rPr>
          <w:rFonts w:ascii="楷体_GB2312" w:hAnsi="Times New Roman" w:eastAsia="楷体_GB2312"/>
          <w:bCs/>
          <w:sz w:val="32"/>
          <w:szCs w:val="32"/>
        </w:rPr>
      </w:pPr>
      <w:r>
        <w:rPr>
          <w:rFonts w:hint="eastAsia" w:ascii="楷体_GB2312" w:hAnsi="Times New Roman" w:eastAsia="楷体_GB2312"/>
          <w:bCs/>
          <w:sz w:val="32"/>
          <w:szCs w:val="32"/>
        </w:rPr>
        <w:t>（一）申报资料</w:t>
      </w:r>
    </w:p>
    <w:p w14:paraId="1B3B328B">
      <w:pPr>
        <w:overflowPunct w:val="0"/>
        <w:autoSpaceDE w:val="0"/>
        <w:autoSpaceDN w:val="0"/>
        <w:adjustRightInd w:val="0"/>
        <w:snapToGrid w:val="0"/>
        <w:spacing w:line="570" w:lineRule="exact"/>
        <w:rPr>
          <w:rFonts w:ascii="仿宋_GB2312" w:hAnsi="Times New Roman" w:eastAsia="仿宋_GB2312"/>
          <w:sz w:val="32"/>
          <w:szCs w:val="32"/>
        </w:rPr>
      </w:pPr>
      <w:r>
        <w:rPr>
          <w:rFonts w:hint="eastAsia" w:ascii="仿宋_GB2312" w:hAnsi="Times New Roman" w:eastAsia="仿宋_GB2312"/>
          <w:sz w:val="32"/>
          <w:szCs w:val="32"/>
        </w:rPr>
        <w:t xml:space="preserve">    1.</w:t>
      </w:r>
      <w:r>
        <w:rPr>
          <w:rFonts w:hint="eastAsia" w:ascii="仿宋_GB2312" w:hAnsi="仿宋_GB2312" w:eastAsia="仿宋_GB2312"/>
          <w:sz w:val="32"/>
          <w:szCs w:val="32"/>
        </w:rPr>
        <w:t>初次申办者须提供</w:t>
      </w:r>
      <w:r>
        <w:rPr>
          <w:rFonts w:hint="eastAsia" w:ascii="仿宋_GB2312" w:hAnsi="Times New Roman" w:eastAsia="仿宋_GB2312"/>
          <w:sz w:val="32"/>
          <w:szCs w:val="32"/>
        </w:rPr>
        <w:t>6</w:t>
      </w:r>
      <w:r>
        <w:rPr>
          <w:rFonts w:hint="eastAsia" w:ascii="仿宋_GB2312" w:hAnsi="仿宋_GB2312" w:eastAsia="仿宋_GB2312"/>
          <w:sz w:val="32"/>
          <w:szCs w:val="32"/>
        </w:rPr>
        <w:t>月内与所申报病种相符合的住院病历；待遇期满续办者如无近</w:t>
      </w:r>
      <w:r>
        <w:rPr>
          <w:rFonts w:hint="eastAsia" w:ascii="仿宋_GB2312" w:hAnsi="Times New Roman" w:eastAsia="仿宋_GB2312"/>
          <w:sz w:val="32"/>
          <w:szCs w:val="32"/>
        </w:rPr>
        <w:t>6</w:t>
      </w:r>
      <w:r>
        <w:rPr>
          <w:rFonts w:hint="eastAsia" w:ascii="仿宋_GB2312" w:hAnsi="仿宋_GB2312" w:eastAsia="仿宋_GB2312"/>
          <w:sz w:val="32"/>
          <w:szCs w:val="32"/>
        </w:rPr>
        <w:t>月的住院病历，可提供与所申报病种相符合的门诊病历，并提供近期的购药发票、清单，并加盖医保定点医疗机构公章；</w:t>
      </w:r>
    </w:p>
    <w:p w14:paraId="09B68A4F">
      <w:pPr>
        <w:overflowPunct w:val="0"/>
        <w:autoSpaceDE w:val="0"/>
        <w:autoSpaceDN w:val="0"/>
        <w:adjustRightInd w:val="0"/>
        <w:snapToGrid w:val="0"/>
        <w:spacing w:line="570" w:lineRule="exact"/>
        <w:rPr>
          <w:rFonts w:ascii="仿宋_GB2312" w:hAnsi="Times New Roman" w:eastAsia="仿宋_GB2312"/>
          <w:sz w:val="32"/>
          <w:szCs w:val="32"/>
        </w:rPr>
      </w:pPr>
      <w:r>
        <w:rPr>
          <w:rFonts w:hint="eastAsia" w:ascii="仿宋_GB2312" w:hAnsi="Times New Roman" w:eastAsia="仿宋_GB2312"/>
          <w:sz w:val="32"/>
          <w:szCs w:val="32"/>
        </w:rPr>
        <w:t xml:space="preserve">    2.</w:t>
      </w:r>
      <w:r>
        <w:rPr>
          <w:rFonts w:hint="eastAsia" w:ascii="仿宋_GB2312" w:hAnsi="仿宋_GB2312" w:eastAsia="仿宋_GB2312"/>
          <w:sz w:val="32"/>
          <w:szCs w:val="32"/>
        </w:rPr>
        <w:t>二级及以上医保定点医疗机构神经内科副主任医师（含副主任医师）以上签名的门诊治疗计划。</w:t>
      </w:r>
    </w:p>
    <w:p w14:paraId="7375AB14">
      <w:pPr>
        <w:overflowPunct w:val="0"/>
        <w:autoSpaceDE w:val="0"/>
        <w:autoSpaceDN w:val="0"/>
        <w:adjustRightInd w:val="0"/>
        <w:snapToGrid w:val="0"/>
        <w:spacing w:line="570" w:lineRule="exact"/>
        <w:ind w:firstLine="630" w:firstLineChars="197"/>
        <w:rPr>
          <w:rFonts w:ascii="仿宋_GB2312" w:hAnsi="Times New Roman" w:eastAsia="仿宋_GB2312"/>
          <w:bCs/>
          <w:sz w:val="32"/>
          <w:szCs w:val="32"/>
        </w:rPr>
      </w:pPr>
      <w:r>
        <w:rPr>
          <w:rFonts w:hint="eastAsia" w:ascii="楷体_GB2312" w:hAnsi="Times New Roman" w:eastAsia="楷体_GB2312"/>
          <w:bCs/>
          <w:sz w:val="32"/>
          <w:szCs w:val="32"/>
        </w:rPr>
        <w:t>（二）治疗指征（认定标准）</w:t>
      </w:r>
    </w:p>
    <w:p w14:paraId="13650DE8">
      <w:pPr>
        <w:overflowPunct w:val="0"/>
        <w:autoSpaceDE w:val="0"/>
        <w:autoSpaceDN w:val="0"/>
        <w:adjustRightInd w:val="0"/>
        <w:snapToGrid w:val="0"/>
        <w:spacing w:line="570" w:lineRule="exact"/>
        <w:ind w:firstLine="640"/>
        <w:rPr>
          <w:rFonts w:ascii="仿宋_GB2312" w:hAnsi="Times New Roman" w:eastAsia="仿宋_GB2312"/>
          <w:sz w:val="32"/>
          <w:szCs w:val="32"/>
        </w:rPr>
      </w:pPr>
      <w:r>
        <w:rPr>
          <w:rFonts w:hint="eastAsia" w:ascii="仿宋_GB2312" w:hAnsi="Times New Roman" w:eastAsia="仿宋_GB2312"/>
          <w:sz w:val="32"/>
          <w:szCs w:val="32"/>
        </w:rPr>
        <w:t>1.</w:t>
      </w:r>
      <w:r>
        <w:rPr>
          <w:rFonts w:hint="eastAsia" w:ascii="仿宋_GB2312" w:hAnsi="仿宋_GB2312" w:eastAsia="仿宋_GB2312"/>
          <w:sz w:val="32"/>
          <w:szCs w:val="32"/>
        </w:rPr>
        <w:t>患者须符合阿尔茨海默病临床诊断标准：（</w:t>
      </w:r>
      <w:r>
        <w:rPr>
          <w:rFonts w:hint="eastAsia" w:ascii="仿宋_GB2312" w:hAnsi="Times New Roman" w:eastAsia="仿宋_GB2312"/>
          <w:sz w:val="32"/>
          <w:szCs w:val="32"/>
        </w:rPr>
        <w:t>1</w:t>
      </w:r>
      <w:r>
        <w:rPr>
          <w:rFonts w:hint="eastAsia" w:ascii="仿宋_GB2312" w:hAnsi="仿宋_GB2312" w:eastAsia="仿宋_GB2312"/>
          <w:sz w:val="32"/>
          <w:szCs w:val="32"/>
        </w:rPr>
        <w:t>）临床表现符合阿尔茨海默病的症状，可以伴随精神行为异常，有</w:t>
      </w:r>
      <w:r>
        <w:rPr>
          <w:rFonts w:hint="eastAsia" w:ascii="仿宋_GB2312" w:hAnsi="Times New Roman" w:eastAsia="仿宋_GB2312"/>
          <w:sz w:val="32"/>
          <w:szCs w:val="32"/>
        </w:rPr>
        <w:t>MMSE</w:t>
      </w:r>
      <w:r>
        <w:rPr>
          <w:rFonts w:hint="eastAsia" w:ascii="仿宋_GB2312" w:hAnsi="仿宋_GB2312" w:eastAsia="仿宋_GB2312"/>
          <w:sz w:val="32"/>
          <w:szCs w:val="32"/>
        </w:rPr>
        <w:t>量表或</w:t>
      </w:r>
      <w:r>
        <w:rPr>
          <w:rFonts w:hint="eastAsia" w:ascii="仿宋_GB2312" w:hAnsi="Times New Roman" w:eastAsia="仿宋_GB2312"/>
          <w:sz w:val="32"/>
          <w:szCs w:val="32"/>
        </w:rPr>
        <w:t>ADscog</w:t>
      </w:r>
      <w:r>
        <w:rPr>
          <w:rFonts w:hint="eastAsia" w:ascii="仿宋_GB2312" w:hAnsi="仿宋_GB2312" w:eastAsia="仿宋_GB2312"/>
          <w:sz w:val="32"/>
          <w:szCs w:val="32"/>
        </w:rPr>
        <w:t>量表评估支持（</w:t>
      </w:r>
      <w:r>
        <w:rPr>
          <w:rFonts w:hint="eastAsia" w:ascii="仿宋_GB2312" w:hAnsi="Times New Roman" w:eastAsia="仿宋_GB2312"/>
          <w:sz w:val="32"/>
          <w:szCs w:val="32"/>
        </w:rPr>
        <w:t>2</w:t>
      </w:r>
      <w:r>
        <w:rPr>
          <w:rFonts w:hint="eastAsia" w:ascii="仿宋_GB2312" w:hAnsi="仿宋_GB2312" w:eastAsia="仿宋_GB2312"/>
          <w:sz w:val="32"/>
          <w:szCs w:val="32"/>
        </w:rPr>
        <w:t>）日常生活不能自理（</w:t>
      </w:r>
      <w:r>
        <w:rPr>
          <w:rFonts w:hint="eastAsia" w:ascii="仿宋_GB2312" w:hAnsi="Times New Roman" w:eastAsia="仿宋_GB2312"/>
          <w:sz w:val="32"/>
          <w:szCs w:val="32"/>
        </w:rPr>
        <w:t>3</w:t>
      </w:r>
      <w:r>
        <w:rPr>
          <w:rFonts w:hint="eastAsia" w:ascii="仿宋_GB2312" w:hAnsi="仿宋_GB2312" w:eastAsia="仿宋_GB2312"/>
          <w:sz w:val="32"/>
          <w:szCs w:val="32"/>
        </w:rPr>
        <w:t>）检查显示符合有以下一项：</w:t>
      </w:r>
      <w:r>
        <w:rPr>
          <w:rFonts w:hint="eastAsia" w:ascii="仿宋_GB2312" w:hAnsi="Times New Roman" w:eastAsia="仿宋_GB2312"/>
          <w:sz w:val="32"/>
          <w:szCs w:val="32"/>
        </w:rPr>
        <w:t>a</w:t>
      </w:r>
      <w:r>
        <w:rPr>
          <w:rFonts w:hint="eastAsia" w:ascii="仿宋_GB2312" w:hAnsi="仿宋_GB2312" w:eastAsia="仿宋_GB2312"/>
          <w:sz w:val="32"/>
          <w:szCs w:val="32"/>
        </w:rPr>
        <w:t>、头颅</w:t>
      </w:r>
      <w:r>
        <w:rPr>
          <w:rFonts w:hint="eastAsia" w:ascii="仿宋_GB2312" w:hAnsi="Times New Roman" w:eastAsia="仿宋_GB2312"/>
          <w:sz w:val="32"/>
          <w:szCs w:val="32"/>
        </w:rPr>
        <w:t>CT</w:t>
      </w:r>
      <w:r>
        <w:rPr>
          <w:rFonts w:hint="eastAsia" w:ascii="仿宋_GB2312" w:hAnsi="仿宋_GB2312" w:eastAsia="仿宋_GB2312"/>
          <w:sz w:val="32"/>
          <w:szCs w:val="32"/>
        </w:rPr>
        <w:t>或</w:t>
      </w:r>
      <w:r>
        <w:rPr>
          <w:rFonts w:hint="eastAsia" w:ascii="仿宋_GB2312" w:hAnsi="Times New Roman" w:eastAsia="仿宋_GB2312"/>
          <w:sz w:val="32"/>
          <w:szCs w:val="32"/>
        </w:rPr>
        <w:t>MRI</w:t>
      </w:r>
      <w:r>
        <w:rPr>
          <w:rFonts w:hint="eastAsia" w:ascii="仿宋_GB2312" w:hAnsi="仿宋_GB2312" w:eastAsia="仿宋_GB2312"/>
          <w:sz w:val="32"/>
          <w:szCs w:val="32"/>
        </w:rPr>
        <w:t>显示海马萎缩；</w:t>
      </w:r>
      <w:r>
        <w:rPr>
          <w:rFonts w:hint="eastAsia" w:ascii="仿宋_GB2312" w:hAnsi="Times New Roman" w:eastAsia="仿宋_GB2312"/>
          <w:sz w:val="32"/>
          <w:szCs w:val="32"/>
        </w:rPr>
        <w:t>b</w:t>
      </w:r>
      <w:r>
        <w:rPr>
          <w:rFonts w:hint="eastAsia" w:ascii="仿宋_GB2312" w:hAnsi="仿宋_GB2312" w:eastAsia="仿宋_GB2312"/>
          <w:sz w:val="32"/>
          <w:szCs w:val="32"/>
        </w:rPr>
        <w:t>、脑脊液或血清生物标志物</w:t>
      </w:r>
      <w:r>
        <w:rPr>
          <w:rFonts w:hint="eastAsia" w:ascii="仿宋_GB2312" w:hAnsi="Times New Roman" w:eastAsia="仿宋_GB2312"/>
          <w:sz w:val="32"/>
          <w:szCs w:val="32"/>
        </w:rPr>
        <w:t>Aβ</w:t>
      </w:r>
      <w:r>
        <w:rPr>
          <w:rFonts w:hint="eastAsia" w:ascii="仿宋_GB2312" w:hAnsi="Times New Roman" w:eastAsia="仿宋_GB2312"/>
          <w:sz w:val="32"/>
          <w:szCs w:val="32"/>
          <w:vertAlign w:val="subscript"/>
        </w:rPr>
        <w:t>42</w:t>
      </w:r>
      <w:r>
        <w:rPr>
          <w:rFonts w:hint="eastAsia" w:ascii="仿宋_GB2312" w:hAnsi="仿宋_GB2312" w:eastAsia="仿宋_GB2312"/>
          <w:sz w:val="32"/>
          <w:szCs w:val="32"/>
        </w:rPr>
        <w:t>下降、总</w:t>
      </w:r>
      <w:r>
        <w:rPr>
          <w:rFonts w:hint="eastAsia" w:ascii="仿宋_GB2312" w:hAnsi="Times New Roman" w:eastAsia="仿宋_GB2312"/>
          <w:sz w:val="32"/>
          <w:szCs w:val="32"/>
        </w:rPr>
        <w:t>tau(t-tau)</w:t>
      </w:r>
      <w:r>
        <w:rPr>
          <w:rFonts w:hint="eastAsia" w:ascii="仿宋_GB2312" w:hAnsi="仿宋_GB2312" w:eastAsia="仿宋_GB2312"/>
          <w:sz w:val="32"/>
          <w:szCs w:val="32"/>
        </w:rPr>
        <w:t>或磷酸化</w:t>
      </w:r>
      <w:r>
        <w:rPr>
          <w:rFonts w:hint="eastAsia" w:ascii="仿宋_GB2312" w:hAnsi="Times New Roman" w:eastAsia="仿宋_GB2312"/>
          <w:sz w:val="32"/>
          <w:szCs w:val="32"/>
        </w:rPr>
        <w:t>tau(p-tau)</w:t>
      </w:r>
      <w:r>
        <w:rPr>
          <w:rFonts w:hint="eastAsia" w:ascii="仿宋_GB2312" w:hAnsi="仿宋_GB2312" w:eastAsia="仿宋_GB2312"/>
          <w:sz w:val="32"/>
          <w:szCs w:val="32"/>
        </w:rPr>
        <w:t>升高，或三者同时符合；</w:t>
      </w:r>
      <w:r>
        <w:rPr>
          <w:rFonts w:hint="eastAsia" w:ascii="仿宋_GB2312" w:hAnsi="Times New Roman" w:eastAsia="仿宋_GB2312"/>
          <w:sz w:val="32"/>
          <w:szCs w:val="32"/>
        </w:rPr>
        <w:t>c</w:t>
      </w:r>
      <w:r>
        <w:rPr>
          <w:rFonts w:hint="eastAsia" w:ascii="仿宋_GB2312" w:hAnsi="仿宋_GB2312" w:eastAsia="仿宋_GB2312"/>
          <w:sz w:val="32"/>
          <w:szCs w:val="32"/>
        </w:rPr>
        <w:t>、直系亲属中有已证实的常染色体显性遗传突变导致的阿尔茨海默症（</w:t>
      </w:r>
      <w:r>
        <w:rPr>
          <w:rFonts w:hint="eastAsia" w:ascii="仿宋_GB2312" w:hAnsi="Times New Roman" w:eastAsia="仿宋_GB2312"/>
          <w:sz w:val="32"/>
          <w:szCs w:val="32"/>
        </w:rPr>
        <w:t>4</w:t>
      </w:r>
      <w:r>
        <w:rPr>
          <w:rFonts w:hint="eastAsia" w:ascii="仿宋_GB2312" w:hAnsi="仿宋_GB2312" w:eastAsia="仿宋_GB2312"/>
          <w:sz w:val="32"/>
          <w:szCs w:val="32"/>
        </w:rPr>
        <w:t>）需要排除抑郁症等所致假性痴呆和正常颅压脑积水等可逆性痴呆等；</w:t>
      </w:r>
    </w:p>
    <w:p w14:paraId="2702D256">
      <w:pPr>
        <w:overflowPunct w:val="0"/>
        <w:autoSpaceDE w:val="0"/>
        <w:autoSpaceDN w:val="0"/>
        <w:adjustRightInd w:val="0"/>
        <w:snapToGrid w:val="0"/>
        <w:spacing w:line="570" w:lineRule="exact"/>
        <w:ind w:firstLine="640"/>
        <w:rPr>
          <w:rFonts w:ascii="仿宋_GB2312" w:hAnsi="Times New Roman" w:eastAsia="仿宋_GB2312"/>
          <w:sz w:val="32"/>
          <w:szCs w:val="32"/>
        </w:rPr>
      </w:pPr>
      <w:r>
        <w:rPr>
          <w:rFonts w:hint="eastAsia" w:ascii="仿宋_GB2312" w:hAnsi="Times New Roman" w:eastAsia="仿宋_GB2312"/>
          <w:sz w:val="32"/>
          <w:szCs w:val="32"/>
        </w:rPr>
        <w:t>2.需长期门诊维持治疗者。</w:t>
      </w:r>
    </w:p>
    <w:p w14:paraId="516A01F8">
      <w:pPr>
        <w:overflowPunct w:val="0"/>
        <w:autoSpaceDE w:val="0"/>
        <w:autoSpaceDN w:val="0"/>
        <w:adjustRightInd w:val="0"/>
        <w:snapToGrid w:val="0"/>
        <w:spacing w:line="570" w:lineRule="exact"/>
        <w:rPr>
          <w:rFonts w:ascii="楷体_GB2312" w:hAnsi="Times New Roman" w:eastAsia="楷体_GB2312"/>
          <w:b/>
          <w:bCs/>
          <w:sz w:val="32"/>
          <w:szCs w:val="32"/>
        </w:rPr>
      </w:pPr>
      <w:r>
        <w:rPr>
          <w:rFonts w:hint="eastAsia" w:ascii="仿宋_GB2312" w:hAnsi="Times New Roman" w:eastAsia="仿宋_GB2312"/>
          <w:bCs/>
          <w:sz w:val="32"/>
          <w:szCs w:val="32"/>
        </w:rPr>
        <w:t xml:space="preserve">   </w:t>
      </w:r>
      <w:r>
        <w:rPr>
          <w:rFonts w:hint="eastAsia" w:ascii="楷体_GB2312" w:hAnsi="Times New Roman" w:eastAsia="楷体_GB2312"/>
          <w:bCs/>
          <w:sz w:val="32"/>
          <w:szCs w:val="32"/>
        </w:rPr>
        <w:t xml:space="preserve"> （三）门诊诊疗范围</w:t>
      </w:r>
    </w:p>
    <w:p w14:paraId="13B5D94C">
      <w:pPr>
        <w:overflowPunct w:val="0"/>
        <w:autoSpaceDE w:val="0"/>
        <w:autoSpaceDN w:val="0"/>
        <w:adjustRightInd w:val="0"/>
        <w:snapToGrid w:val="0"/>
        <w:spacing w:line="570" w:lineRule="exact"/>
        <w:rPr>
          <w:rFonts w:ascii="仿宋_GB2312" w:hAnsi="Times New Roman" w:eastAsia="仿宋_GB2312"/>
          <w:sz w:val="32"/>
          <w:szCs w:val="32"/>
        </w:rPr>
      </w:pPr>
      <w:r>
        <w:rPr>
          <w:rFonts w:hint="eastAsia" w:ascii="仿宋_GB2312" w:hAnsi="Times New Roman" w:eastAsia="仿宋_GB2312"/>
          <w:sz w:val="32"/>
          <w:szCs w:val="32"/>
        </w:rPr>
        <w:t xml:space="preserve">    1.改善认知障碍（盐酸多奈哌齐、盐酸美金刚和甘露特纳等）和抗精神类药物；</w:t>
      </w:r>
    </w:p>
    <w:p w14:paraId="1A38659B">
      <w:pPr>
        <w:overflowPunct w:val="0"/>
        <w:autoSpaceDE w:val="0"/>
        <w:autoSpaceDN w:val="0"/>
        <w:adjustRightInd w:val="0"/>
        <w:snapToGrid w:val="0"/>
        <w:spacing w:line="570" w:lineRule="exact"/>
        <w:ind w:firstLine="640" w:firstLineChars="200"/>
        <w:rPr>
          <w:rFonts w:ascii="仿宋_GB2312" w:hAnsi="Times New Roman" w:eastAsia="仿宋_GB2312"/>
          <w:kern w:val="0"/>
          <w:sz w:val="32"/>
          <w:szCs w:val="32"/>
        </w:rPr>
      </w:pPr>
      <w:r>
        <w:rPr>
          <w:rFonts w:hint="eastAsia" w:ascii="仿宋_GB2312" w:hAnsi="Times New Roman" w:eastAsia="仿宋_GB2312"/>
          <w:sz w:val="32"/>
          <w:szCs w:val="32"/>
        </w:rPr>
        <w:t>2.相关检查费用。</w:t>
      </w:r>
    </w:p>
    <w:p w14:paraId="45945612">
      <w:pPr>
        <w:overflowPunct w:val="0"/>
        <w:autoSpaceDE w:val="0"/>
        <w:autoSpaceDN w:val="0"/>
        <w:adjustRightInd w:val="0"/>
        <w:snapToGrid w:val="0"/>
        <w:spacing w:line="570" w:lineRule="exact"/>
        <w:rPr>
          <w:rFonts w:ascii="楷体_GB2312" w:hAnsi="Times New Roman" w:eastAsia="楷体_GB2312"/>
          <w:bCs/>
          <w:sz w:val="32"/>
          <w:szCs w:val="32"/>
        </w:rPr>
      </w:pPr>
      <w:r>
        <w:rPr>
          <w:rFonts w:hint="eastAsia" w:ascii="仿宋_GB2312" w:hAnsi="Times New Roman" w:eastAsia="仿宋_GB2312"/>
          <w:bCs/>
          <w:sz w:val="32"/>
          <w:szCs w:val="32"/>
        </w:rPr>
        <w:t xml:space="preserve">   </w:t>
      </w:r>
      <w:r>
        <w:rPr>
          <w:rFonts w:hint="eastAsia" w:ascii="楷体_GB2312" w:hAnsi="Times New Roman" w:eastAsia="楷体_GB2312"/>
          <w:bCs/>
          <w:sz w:val="32"/>
          <w:szCs w:val="32"/>
        </w:rPr>
        <w:t xml:space="preserve"> （四）复审期限</w:t>
      </w:r>
    </w:p>
    <w:p w14:paraId="0FF08629">
      <w:pPr>
        <w:pStyle w:val="12"/>
        <w:widowControl w:val="0"/>
        <w:overflowPunct w:val="0"/>
        <w:autoSpaceDE w:val="0"/>
        <w:autoSpaceDN w:val="0"/>
        <w:adjustRightInd w:val="0"/>
        <w:snapToGrid w:val="0"/>
        <w:spacing w:line="570" w:lineRule="exact"/>
        <w:ind w:firstLine="640"/>
        <w:jc w:val="both"/>
        <w:rPr>
          <w:rFonts w:ascii="仿宋_GB2312" w:hAnsi="Times New Roman" w:eastAsia="仿宋_GB2312"/>
          <w:bCs/>
          <w:sz w:val="32"/>
          <w:szCs w:val="32"/>
        </w:rPr>
      </w:pPr>
      <w:r>
        <w:rPr>
          <w:rFonts w:hint="eastAsia" w:ascii="仿宋_GB2312" w:hAnsi="仿宋_GB2312" w:eastAsia="仿宋_GB2312"/>
          <w:bCs/>
          <w:sz w:val="32"/>
          <w:szCs w:val="32"/>
        </w:rPr>
        <w:t>每</w:t>
      </w:r>
      <w:r>
        <w:rPr>
          <w:rFonts w:hint="eastAsia" w:ascii="仿宋_GB2312" w:hAnsi="Times New Roman" w:eastAsia="仿宋_GB2312"/>
          <w:bCs/>
          <w:sz w:val="32"/>
          <w:szCs w:val="32"/>
        </w:rPr>
        <w:t>5</w:t>
      </w:r>
      <w:r>
        <w:rPr>
          <w:rFonts w:hint="eastAsia" w:ascii="仿宋_GB2312" w:hAnsi="仿宋_GB2312" w:eastAsia="仿宋_GB2312"/>
          <w:bCs/>
          <w:sz w:val="32"/>
          <w:szCs w:val="32"/>
        </w:rPr>
        <w:t>年复审一次。</w:t>
      </w:r>
    </w:p>
    <w:p w14:paraId="61901379">
      <w:pPr>
        <w:pStyle w:val="12"/>
        <w:widowControl w:val="0"/>
        <w:overflowPunct w:val="0"/>
        <w:autoSpaceDE w:val="0"/>
        <w:autoSpaceDN w:val="0"/>
        <w:adjustRightInd w:val="0"/>
        <w:snapToGrid w:val="0"/>
        <w:spacing w:line="570" w:lineRule="exact"/>
        <w:ind w:firstLine="640"/>
        <w:jc w:val="both"/>
        <w:rPr>
          <w:rFonts w:ascii="黑体" w:hAnsi="黑体" w:eastAsia="黑体"/>
          <w:b/>
          <w:bCs/>
          <w:sz w:val="32"/>
          <w:szCs w:val="32"/>
        </w:rPr>
      </w:pPr>
      <w:r>
        <w:rPr>
          <w:rFonts w:hint="eastAsia" w:ascii="黑体" w:hAnsi="黑体" w:eastAsia="黑体"/>
          <w:sz w:val="32"/>
          <w:szCs w:val="32"/>
        </w:rPr>
        <w:t>十三、脑瘫</w:t>
      </w:r>
    </w:p>
    <w:p w14:paraId="13D113CF">
      <w:pPr>
        <w:overflowPunct w:val="0"/>
        <w:autoSpaceDE w:val="0"/>
        <w:autoSpaceDN w:val="0"/>
        <w:adjustRightInd w:val="0"/>
        <w:snapToGrid w:val="0"/>
        <w:spacing w:line="570" w:lineRule="exact"/>
        <w:ind w:firstLine="640"/>
        <w:rPr>
          <w:rFonts w:ascii="楷体_GB2312" w:hAnsi="Times New Roman" w:eastAsia="楷体_GB2312"/>
          <w:bCs/>
          <w:sz w:val="32"/>
          <w:szCs w:val="32"/>
        </w:rPr>
      </w:pPr>
      <w:r>
        <w:rPr>
          <w:rFonts w:hint="eastAsia" w:ascii="楷体_GB2312" w:hAnsi="Times New Roman" w:eastAsia="楷体_GB2312"/>
          <w:bCs/>
          <w:sz w:val="32"/>
          <w:szCs w:val="32"/>
        </w:rPr>
        <w:t>（一）申报资料</w:t>
      </w:r>
    </w:p>
    <w:p w14:paraId="5BC6101C">
      <w:pPr>
        <w:overflowPunct w:val="0"/>
        <w:autoSpaceDE w:val="0"/>
        <w:autoSpaceDN w:val="0"/>
        <w:adjustRightInd w:val="0"/>
        <w:snapToGrid w:val="0"/>
        <w:spacing w:line="570" w:lineRule="exact"/>
        <w:rPr>
          <w:rFonts w:ascii="仿宋_GB2312" w:hAnsi="Times New Roman" w:eastAsia="仿宋_GB2312"/>
          <w:sz w:val="32"/>
          <w:szCs w:val="32"/>
        </w:rPr>
      </w:pPr>
      <w:r>
        <w:rPr>
          <w:rFonts w:hint="eastAsia" w:ascii="仿宋_GB2312" w:hAnsi="Times New Roman" w:eastAsia="仿宋_GB2312"/>
          <w:sz w:val="32"/>
          <w:szCs w:val="32"/>
        </w:rPr>
        <w:t xml:space="preserve">    1.</w:t>
      </w:r>
      <w:r>
        <w:rPr>
          <w:rFonts w:hint="eastAsia" w:ascii="仿宋_GB2312" w:hAnsi="仿宋_GB2312" w:eastAsia="仿宋_GB2312"/>
          <w:sz w:val="32"/>
          <w:szCs w:val="32"/>
        </w:rPr>
        <w:t>初次申办或续办者需提供患者本人近半年内二级以上专科或综合医院的住院康复病历及二级以上专科或综合医院儿童康复科、儿科或神经科副主任医师以上（含副主任医师）开具的诊断证明；待遇期满续办资料同上；</w:t>
      </w:r>
    </w:p>
    <w:p w14:paraId="5544F38D">
      <w:pPr>
        <w:overflowPunct w:val="0"/>
        <w:autoSpaceDE w:val="0"/>
        <w:autoSpaceDN w:val="0"/>
        <w:adjustRightInd w:val="0"/>
        <w:snapToGrid w:val="0"/>
        <w:spacing w:line="570" w:lineRule="exact"/>
        <w:rPr>
          <w:rFonts w:ascii="仿宋_GB2312" w:hAnsi="Times New Roman" w:eastAsia="仿宋_GB2312"/>
          <w:sz w:val="32"/>
          <w:szCs w:val="32"/>
        </w:rPr>
      </w:pPr>
      <w:r>
        <w:rPr>
          <w:rFonts w:hint="eastAsia" w:ascii="仿宋_GB2312" w:hAnsi="Times New Roman" w:eastAsia="仿宋_GB2312"/>
          <w:sz w:val="32"/>
          <w:szCs w:val="32"/>
        </w:rPr>
        <w:t xml:space="preserve">    2.</w:t>
      </w:r>
      <w:r>
        <w:rPr>
          <w:rFonts w:hint="eastAsia" w:ascii="仿宋_GB2312" w:hAnsi="仿宋_GB2312" w:eastAsia="仿宋_GB2312"/>
          <w:sz w:val="32"/>
          <w:szCs w:val="32"/>
        </w:rPr>
        <w:t>有关临床资料（包括病史、症状、体征等）；</w:t>
      </w:r>
    </w:p>
    <w:p w14:paraId="42915880">
      <w:pPr>
        <w:overflowPunct w:val="0"/>
        <w:autoSpaceDE w:val="0"/>
        <w:autoSpaceDN w:val="0"/>
        <w:adjustRightInd w:val="0"/>
        <w:snapToGrid w:val="0"/>
        <w:spacing w:line="570" w:lineRule="exact"/>
        <w:rPr>
          <w:rFonts w:ascii="仿宋_GB2312" w:hAnsi="Times New Roman" w:eastAsia="仿宋_GB2312"/>
          <w:sz w:val="32"/>
          <w:szCs w:val="32"/>
        </w:rPr>
      </w:pPr>
      <w:r>
        <w:rPr>
          <w:rFonts w:hint="eastAsia" w:ascii="仿宋_GB2312" w:hAnsi="Times New Roman" w:eastAsia="仿宋_GB2312"/>
          <w:sz w:val="32"/>
          <w:szCs w:val="32"/>
        </w:rPr>
        <w:t xml:space="preserve">    3.</w:t>
      </w:r>
      <w:r>
        <w:rPr>
          <w:rFonts w:hint="eastAsia" w:ascii="仿宋_GB2312" w:hAnsi="仿宋_GB2312" w:eastAsia="仿宋_GB2312"/>
          <w:sz w:val="32"/>
          <w:szCs w:val="32"/>
        </w:rPr>
        <w:t>医保定点医疗机构专科康复科室主治医师以上（含主治医师）签名的康复治疗计划（须注明康复项目、次数）。</w:t>
      </w:r>
    </w:p>
    <w:p w14:paraId="17BC6CE5">
      <w:pPr>
        <w:overflowPunct w:val="0"/>
        <w:autoSpaceDE w:val="0"/>
        <w:autoSpaceDN w:val="0"/>
        <w:adjustRightInd w:val="0"/>
        <w:snapToGrid w:val="0"/>
        <w:spacing w:line="570" w:lineRule="exact"/>
        <w:ind w:firstLine="640"/>
        <w:rPr>
          <w:rFonts w:ascii="仿宋_GB2312" w:hAnsi="Times New Roman" w:eastAsia="仿宋_GB2312"/>
          <w:bCs/>
          <w:sz w:val="32"/>
          <w:szCs w:val="32"/>
        </w:rPr>
      </w:pPr>
      <w:r>
        <w:rPr>
          <w:rFonts w:hint="eastAsia" w:ascii="楷体_GB2312" w:hAnsi="Times New Roman" w:eastAsia="楷体_GB2312"/>
          <w:bCs/>
          <w:sz w:val="32"/>
          <w:szCs w:val="32"/>
        </w:rPr>
        <w:t>（二）治疗指征（认定标准）</w:t>
      </w:r>
    </w:p>
    <w:p w14:paraId="70346A0A">
      <w:pPr>
        <w:overflowPunct w:val="0"/>
        <w:autoSpaceDE w:val="0"/>
        <w:autoSpaceDN w:val="0"/>
        <w:adjustRightInd w:val="0"/>
        <w:snapToGrid w:val="0"/>
        <w:spacing w:line="570" w:lineRule="exact"/>
        <w:ind w:firstLine="640" w:firstLineChars="200"/>
        <w:rPr>
          <w:rFonts w:ascii="仿宋_GB2312" w:hAnsi="Times New Roman" w:eastAsia="仿宋_GB2312"/>
          <w:sz w:val="32"/>
          <w:szCs w:val="32"/>
        </w:rPr>
      </w:pPr>
      <w:r>
        <w:rPr>
          <w:rFonts w:hint="eastAsia" w:ascii="仿宋_GB2312" w:hAnsi="仿宋_GB2312" w:eastAsia="仿宋_GB2312"/>
          <w:sz w:val="32"/>
          <w:szCs w:val="32"/>
        </w:rPr>
        <w:t>符合脑性瘫痪诊断标准，经住院或门诊系统康复后仍需长期康复维持治疗的。脑性瘫痪诊断标准：</w:t>
      </w:r>
    </w:p>
    <w:p w14:paraId="1A33124B">
      <w:pPr>
        <w:overflowPunct w:val="0"/>
        <w:autoSpaceDE w:val="0"/>
        <w:autoSpaceDN w:val="0"/>
        <w:adjustRightInd w:val="0"/>
        <w:snapToGrid w:val="0"/>
        <w:spacing w:line="570" w:lineRule="exact"/>
        <w:ind w:firstLine="640" w:firstLineChars="200"/>
        <w:rPr>
          <w:rFonts w:ascii="仿宋_GB2312" w:hAnsi="Times New Roman" w:eastAsia="仿宋_GB2312"/>
          <w:sz w:val="32"/>
          <w:szCs w:val="32"/>
        </w:rPr>
      </w:pPr>
      <w:r>
        <w:rPr>
          <w:rFonts w:hint="eastAsia" w:ascii="仿宋_GB2312" w:hAnsi="Times New Roman" w:eastAsia="仿宋_GB2312"/>
          <w:sz w:val="32"/>
          <w:szCs w:val="32"/>
        </w:rPr>
        <w:t>1.</w:t>
      </w:r>
      <w:r>
        <w:rPr>
          <w:rFonts w:hint="eastAsia" w:ascii="仿宋_GB2312" w:hAnsi="仿宋_GB2312" w:eastAsia="仿宋_GB2312"/>
          <w:sz w:val="32"/>
          <w:szCs w:val="32"/>
        </w:rPr>
        <w:t>必备条件：（</w:t>
      </w:r>
      <w:r>
        <w:rPr>
          <w:rFonts w:hint="eastAsia" w:ascii="仿宋_GB2312" w:hAnsi="Times New Roman" w:eastAsia="仿宋_GB2312"/>
          <w:sz w:val="32"/>
          <w:szCs w:val="32"/>
        </w:rPr>
        <w:t>1</w:t>
      </w:r>
      <w:r>
        <w:rPr>
          <w:rFonts w:hint="eastAsia" w:ascii="仿宋_GB2312" w:hAnsi="仿宋_GB2312" w:eastAsia="仿宋_GB2312"/>
          <w:sz w:val="32"/>
          <w:szCs w:val="32"/>
        </w:rPr>
        <w:t>）中枢性运动障碍持续存在（</w:t>
      </w:r>
      <w:r>
        <w:rPr>
          <w:rFonts w:hint="eastAsia" w:ascii="仿宋_GB2312" w:hAnsi="Times New Roman" w:eastAsia="仿宋_GB2312"/>
          <w:sz w:val="32"/>
          <w:szCs w:val="32"/>
        </w:rPr>
        <w:t>2</w:t>
      </w:r>
      <w:r>
        <w:rPr>
          <w:rFonts w:hint="eastAsia" w:ascii="仿宋_GB2312" w:hAnsi="仿宋_GB2312" w:eastAsia="仿宋_GB2312"/>
          <w:sz w:val="32"/>
          <w:szCs w:val="32"/>
        </w:rPr>
        <w:t>）运动和姿势发育异常（</w:t>
      </w:r>
      <w:r>
        <w:rPr>
          <w:rFonts w:hint="eastAsia" w:ascii="仿宋_GB2312" w:hAnsi="Times New Roman" w:eastAsia="仿宋_GB2312"/>
          <w:sz w:val="32"/>
          <w:szCs w:val="32"/>
        </w:rPr>
        <w:t>3</w:t>
      </w:r>
      <w:r>
        <w:rPr>
          <w:rFonts w:hint="eastAsia" w:ascii="仿宋_GB2312" w:hAnsi="仿宋_GB2312" w:eastAsia="仿宋_GB2312"/>
          <w:sz w:val="32"/>
          <w:szCs w:val="32"/>
        </w:rPr>
        <w:t>）反射发育异常</w:t>
      </w:r>
      <w:r>
        <w:rPr>
          <w:rFonts w:hint="eastAsia" w:ascii="仿宋_GB2312" w:hAnsi="Times New Roman" w:eastAsia="仿宋_GB2312"/>
          <w:sz w:val="32"/>
          <w:szCs w:val="32"/>
        </w:rPr>
        <w:t xml:space="preserve"> </w:t>
      </w:r>
      <w:r>
        <w:rPr>
          <w:rFonts w:hint="eastAsia" w:ascii="仿宋_GB2312" w:hAnsi="仿宋_GB2312" w:eastAsia="仿宋_GB2312"/>
          <w:sz w:val="32"/>
          <w:szCs w:val="32"/>
        </w:rPr>
        <w:t>（</w:t>
      </w:r>
      <w:r>
        <w:rPr>
          <w:rFonts w:hint="eastAsia" w:ascii="仿宋_GB2312" w:hAnsi="Times New Roman" w:eastAsia="仿宋_GB2312"/>
          <w:sz w:val="32"/>
          <w:szCs w:val="32"/>
        </w:rPr>
        <w:t>4</w:t>
      </w:r>
      <w:r>
        <w:rPr>
          <w:rFonts w:hint="eastAsia" w:ascii="仿宋_GB2312" w:hAnsi="仿宋_GB2312" w:eastAsia="仿宋_GB2312"/>
          <w:sz w:val="32"/>
          <w:szCs w:val="32"/>
        </w:rPr>
        <w:t>）肌张力及肌力异常；</w:t>
      </w:r>
    </w:p>
    <w:p w14:paraId="63400683">
      <w:pPr>
        <w:overflowPunct w:val="0"/>
        <w:autoSpaceDE w:val="0"/>
        <w:autoSpaceDN w:val="0"/>
        <w:adjustRightInd w:val="0"/>
        <w:snapToGrid w:val="0"/>
        <w:spacing w:line="570" w:lineRule="exact"/>
        <w:ind w:firstLine="640" w:firstLineChars="200"/>
        <w:rPr>
          <w:rFonts w:ascii="仿宋_GB2312" w:hAnsi="Times New Roman" w:eastAsia="仿宋_GB2312"/>
          <w:kern w:val="0"/>
          <w:sz w:val="32"/>
          <w:szCs w:val="32"/>
        </w:rPr>
      </w:pPr>
      <w:r>
        <w:rPr>
          <w:rFonts w:hint="eastAsia" w:ascii="仿宋_GB2312" w:hAnsi="Times New Roman" w:eastAsia="仿宋_GB2312"/>
          <w:sz w:val="32"/>
          <w:szCs w:val="32"/>
        </w:rPr>
        <w:t>2.</w:t>
      </w:r>
      <w:r>
        <w:rPr>
          <w:rFonts w:hint="eastAsia" w:ascii="仿宋_GB2312" w:hAnsi="仿宋_GB2312" w:eastAsia="仿宋_GB2312"/>
          <w:sz w:val="32"/>
          <w:szCs w:val="32"/>
        </w:rPr>
        <w:t>辅助检查：（</w:t>
      </w:r>
      <w:r>
        <w:rPr>
          <w:rFonts w:hint="eastAsia" w:ascii="仿宋_GB2312" w:hAnsi="Times New Roman" w:eastAsia="仿宋_GB2312"/>
          <w:sz w:val="32"/>
          <w:szCs w:val="32"/>
        </w:rPr>
        <w:t>1</w:t>
      </w:r>
      <w:r>
        <w:rPr>
          <w:rFonts w:hint="eastAsia" w:ascii="仿宋_GB2312" w:hAnsi="仿宋_GB2312" w:eastAsia="仿宋_GB2312"/>
          <w:sz w:val="32"/>
          <w:szCs w:val="32"/>
        </w:rPr>
        <w:t>）病史：早产、低体重、围产期缺氧史，婴幼儿期各种原因导致的中枢神经系统损伤上述症状持续存在者（</w:t>
      </w:r>
      <w:r>
        <w:rPr>
          <w:rFonts w:hint="eastAsia" w:ascii="仿宋_GB2312" w:hAnsi="Times New Roman" w:eastAsia="仿宋_GB2312"/>
          <w:sz w:val="32"/>
          <w:szCs w:val="32"/>
        </w:rPr>
        <w:t>2</w:t>
      </w:r>
      <w:r>
        <w:rPr>
          <w:rFonts w:hint="eastAsia" w:ascii="仿宋_GB2312" w:hAnsi="仿宋_GB2312" w:eastAsia="仿宋_GB2312"/>
          <w:sz w:val="32"/>
          <w:szCs w:val="32"/>
        </w:rPr>
        <w:t>）头颅影像学检查</w:t>
      </w:r>
      <w:r>
        <w:rPr>
          <w:rFonts w:hint="eastAsia" w:ascii="仿宋_GB2312" w:hAnsi="Times New Roman" w:eastAsia="仿宋_GB2312"/>
          <w:sz w:val="32"/>
          <w:szCs w:val="32"/>
        </w:rPr>
        <w:t xml:space="preserve"> (MRI</w:t>
      </w:r>
      <w:r>
        <w:rPr>
          <w:rFonts w:hint="eastAsia" w:ascii="仿宋_GB2312" w:hAnsi="仿宋_GB2312" w:eastAsia="仿宋_GB2312"/>
          <w:sz w:val="32"/>
          <w:szCs w:val="32"/>
        </w:rPr>
        <w:t>、</w:t>
      </w:r>
      <w:r>
        <w:rPr>
          <w:rFonts w:hint="eastAsia" w:ascii="仿宋_GB2312" w:hAnsi="Times New Roman" w:eastAsia="仿宋_GB2312"/>
          <w:sz w:val="32"/>
          <w:szCs w:val="32"/>
        </w:rPr>
        <w:t>CT</w:t>
      </w:r>
      <w:r>
        <w:rPr>
          <w:rFonts w:hint="eastAsia" w:ascii="仿宋_GB2312" w:hAnsi="仿宋_GB2312" w:eastAsia="仿宋_GB2312"/>
          <w:sz w:val="32"/>
          <w:szCs w:val="32"/>
        </w:rPr>
        <w:t>和</w:t>
      </w:r>
      <w:r>
        <w:rPr>
          <w:rFonts w:hint="eastAsia" w:ascii="仿宋_GB2312" w:hAnsi="Times New Roman" w:eastAsia="仿宋_GB2312"/>
          <w:sz w:val="32"/>
          <w:szCs w:val="32"/>
        </w:rPr>
        <w:t>B</w:t>
      </w:r>
      <w:r>
        <w:rPr>
          <w:rFonts w:hint="eastAsia" w:ascii="仿宋_GB2312" w:hAnsi="仿宋_GB2312" w:eastAsia="仿宋_GB2312"/>
          <w:sz w:val="32"/>
          <w:szCs w:val="32"/>
        </w:rPr>
        <w:t>超</w:t>
      </w:r>
      <w:r>
        <w:rPr>
          <w:rFonts w:hint="eastAsia" w:ascii="仿宋_GB2312" w:hAnsi="Times New Roman" w:eastAsia="仿宋_GB2312"/>
          <w:sz w:val="32"/>
          <w:szCs w:val="32"/>
        </w:rPr>
        <w:t>)</w:t>
      </w:r>
      <w:r>
        <w:rPr>
          <w:rFonts w:hint="eastAsia" w:ascii="仿宋_GB2312" w:hAnsi="仿宋_GB2312" w:eastAsia="仿宋_GB2312"/>
          <w:sz w:val="32"/>
          <w:szCs w:val="32"/>
        </w:rPr>
        <w:t>（</w:t>
      </w:r>
      <w:r>
        <w:rPr>
          <w:rFonts w:hint="eastAsia" w:ascii="仿宋_GB2312" w:hAnsi="Times New Roman" w:eastAsia="仿宋_GB2312"/>
          <w:sz w:val="32"/>
          <w:szCs w:val="32"/>
        </w:rPr>
        <w:t>3</w:t>
      </w:r>
      <w:r>
        <w:rPr>
          <w:rFonts w:hint="eastAsia" w:ascii="仿宋_GB2312" w:hAnsi="仿宋_GB2312" w:eastAsia="仿宋_GB2312"/>
          <w:sz w:val="32"/>
          <w:szCs w:val="32"/>
        </w:rPr>
        <w:t>）脑电图（</w:t>
      </w:r>
      <w:r>
        <w:rPr>
          <w:rFonts w:hint="eastAsia" w:ascii="仿宋_GB2312" w:hAnsi="Times New Roman" w:eastAsia="仿宋_GB2312"/>
          <w:sz w:val="32"/>
          <w:szCs w:val="32"/>
        </w:rPr>
        <w:t>EEG)</w:t>
      </w:r>
      <w:r>
        <w:rPr>
          <w:rFonts w:hint="eastAsia" w:ascii="仿宋_GB2312" w:hAnsi="仿宋_GB2312" w:eastAsia="仿宋_GB2312"/>
          <w:sz w:val="32"/>
          <w:szCs w:val="32"/>
        </w:rPr>
        <w:t>（</w:t>
      </w:r>
      <w:r>
        <w:rPr>
          <w:rFonts w:hint="eastAsia" w:ascii="仿宋_GB2312" w:hAnsi="Times New Roman" w:eastAsia="仿宋_GB2312"/>
          <w:sz w:val="32"/>
          <w:szCs w:val="32"/>
        </w:rPr>
        <w:t>4</w:t>
      </w:r>
      <w:r>
        <w:rPr>
          <w:rFonts w:hint="eastAsia" w:ascii="仿宋_GB2312" w:hAnsi="仿宋_GB2312" w:eastAsia="仿宋_GB2312"/>
          <w:sz w:val="32"/>
          <w:szCs w:val="32"/>
        </w:rPr>
        <w:t>）其他相关检查：有智力发育、语言、营养、生长和吞咽等障碍者进行智商</w:t>
      </w:r>
      <w:r>
        <w:rPr>
          <w:rFonts w:hint="eastAsia" w:ascii="仿宋_GB2312" w:hAnsi="Times New Roman" w:eastAsia="仿宋_GB2312"/>
          <w:sz w:val="32"/>
          <w:szCs w:val="32"/>
        </w:rPr>
        <w:t>/</w:t>
      </w:r>
      <w:r>
        <w:rPr>
          <w:rFonts w:hint="eastAsia" w:ascii="仿宋_GB2312" w:hAnsi="仿宋_GB2312" w:eastAsia="仿宋_GB2312"/>
          <w:sz w:val="32"/>
          <w:szCs w:val="32"/>
        </w:rPr>
        <w:t>发育商及其他相关检查。</w:t>
      </w:r>
    </w:p>
    <w:p w14:paraId="1B66A9B2">
      <w:pPr>
        <w:overflowPunct w:val="0"/>
        <w:autoSpaceDE w:val="0"/>
        <w:autoSpaceDN w:val="0"/>
        <w:adjustRightInd w:val="0"/>
        <w:snapToGrid w:val="0"/>
        <w:spacing w:line="570" w:lineRule="exact"/>
        <w:ind w:firstLine="640"/>
        <w:rPr>
          <w:rFonts w:ascii="楷体_GB2312" w:hAnsi="Times New Roman" w:eastAsia="楷体_GB2312"/>
          <w:bCs/>
          <w:sz w:val="32"/>
          <w:szCs w:val="32"/>
        </w:rPr>
      </w:pPr>
      <w:r>
        <w:rPr>
          <w:rFonts w:hint="eastAsia" w:ascii="楷体_GB2312" w:hAnsi="Times New Roman" w:eastAsia="楷体_GB2312"/>
          <w:bCs/>
          <w:sz w:val="32"/>
          <w:szCs w:val="32"/>
        </w:rPr>
        <w:t>（三）门诊诊疗范围</w:t>
      </w:r>
    </w:p>
    <w:p w14:paraId="3D77608A">
      <w:pPr>
        <w:overflowPunct w:val="0"/>
        <w:autoSpaceDE w:val="0"/>
        <w:autoSpaceDN w:val="0"/>
        <w:adjustRightInd w:val="0"/>
        <w:snapToGrid w:val="0"/>
        <w:spacing w:line="570" w:lineRule="exact"/>
        <w:ind w:firstLine="640"/>
        <w:rPr>
          <w:rFonts w:ascii="仿宋_GB2312" w:hAnsi="Times New Roman" w:eastAsia="仿宋_GB2312"/>
          <w:kern w:val="0"/>
          <w:sz w:val="32"/>
          <w:szCs w:val="32"/>
        </w:rPr>
      </w:pPr>
      <w:r>
        <w:rPr>
          <w:rFonts w:hint="eastAsia" w:ascii="仿宋_GB2312" w:hAnsi="仿宋_GB2312" w:eastAsia="仿宋_GB2312"/>
          <w:sz w:val="32"/>
          <w:szCs w:val="32"/>
        </w:rPr>
        <w:t>因脑性瘫痪及并发症引起的大运动、精细动作、语言、认知、社会适应、生活自理等领域发育落后，影响功能的康复治疗。</w:t>
      </w:r>
      <w:r>
        <w:rPr>
          <w:rFonts w:hint="eastAsia" w:ascii="仿宋_GB2312" w:hAnsi="Times New Roman" w:eastAsia="仿宋_GB2312"/>
          <w:sz w:val="32"/>
          <w:szCs w:val="32"/>
        </w:rPr>
        <w:t>1.</w:t>
      </w:r>
      <w:r>
        <w:rPr>
          <w:rFonts w:hint="eastAsia" w:ascii="仿宋_GB2312" w:hAnsi="仿宋_GB2312" w:eastAsia="仿宋_GB2312"/>
          <w:sz w:val="32"/>
          <w:szCs w:val="32"/>
        </w:rPr>
        <w:t>运动疗法；</w:t>
      </w:r>
      <w:r>
        <w:rPr>
          <w:rFonts w:hint="eastAsia" w:ascii="仿宋_GB2312" w:hAnsi="Times New Roman" w:eastAsia="仿宋_GB2312"/>
          <w:sz w:val="32"/>
          <w:szCs w:val="32"/>
        </w:rPr>
        <w:t>2.</w:t>
      </w:r>
      <w:r>
        <w:rPr>
          <w:rFonts w:hint="eastAsia" w:ascii="仿宋_GB2312" w:hAnsi="仿宋_GB2312" w:eastAsia="仿宋_GB2312"/>
          <w:sz w:val="32"/>
          <w:szCs w:val="32"/>
        </w:rPr>
        <w:t>作业治疗；</w:t>
      </w:r>
      <w:r>
        <w:rPr>
          <w:rFonts w:hint="eastAsia" w:ascii="仿宋_GB2312" w:hAnsi="Times New Roman" w:eastAsia="仿宋_GB2312"/>
          <w:sz w:val="32"/>
          <w:szCs w:val="32"/>
        </w:rPr>
        <w:t>3.</w:t>
      </w:r>
      <w:r>
        <w:rPr>
          <w:rFonts w:hint="eastAsia" w:ascii="仿宋_GB2312" w:hAnsi="仿宋_GB2312" w:eastAsia="仿宋_GB2312"/>
          <w:sz w:val="32"/>
          <w:szCs w:val="32"/>
        </w:rPr>
        <w:t>物理因子疗法；</w:t>
      </w:r>
      <w:r>
        <w:rPr>
          <w:rFonts w:hint="eastAsia" w:ascii="仿宋_GB2312" w:hAnsi="Times New Roman" w:eastAsia="仿宋_GB2312"/>
          <w:sz w:val="32"/>
          <w:szCs w:val="32"/>
        </w:rPr>
        <w:t>4.</w:t>
      </w:r>
      <w:r>
        <w:rPr>
          <w:rFonts w:hint="eastAsia" w:ascii="仿宋_GB2312" w:hAnsi="仿宋_GB2312" w:eastAsia="仿宋_GB2312"/>
          <w:sz w:val="32"/>
          <w:szCs w:val="32"/>
        </w:rPr>
        <w:t>引导式教育疗法；</w:t>
      </w:r>
      <w:r>
        <w:rPr>
          <w:rFonts w:hint="eastAsia" w:ascii="仿宋_GB2312" w:hAnsi="Times New Roman" w:eastAsia="仿宋_GB2312"/>
          <w:sz w:val="32"/>
          <w:szCs w:val="32"/>
        </w:rPr>
        <w:t>5.</w:t>
      </w:r>
      <w:r>
        <w:rPr>
          <w:rFonts w:hint="eastAsia" w:ascii="仿宋_GB2312" w:hAnsi="仿宋_GB2312" w:eastAsia="仿宋_GB2312"/>
          <w:sz w:val="32"/>
          <w:szCs w:val="32"/>
        </w:rPr>
        <w:t>语言、认知训练；</w:t>
      </w:r>
      <w:r>
        <w:rPr>
          <w:rFonts w:hint="eastAsia" w:ascii="仿宋_GB2312" w:hAnsi="Times New Roman" w:eastAsia="仿宋_GB2312"/>
          <w:sz w:val="32"/>
          <w:szCs w:val="32"/>
        </w:rPr>
        <w:t>6.</w:t>
      </w:r>
      <w:r>
        <w:rPr>
          <w:rFonts w:hint="eastAsia" w:ascii="仿宋_GB2312" w:hAnsi="仿宋_GB2312" w:eastAsia="仿宋_GB2312"/>
          <w:sz w:val="32"/>
          <w:szCs w:val="32"/>
        </w:rPr>
        <w:t>生活自理能力训练；</w:t>
      </w:r>
      <w:r>
        <w:rPr>
          <w:rFonts w:hint="eastAsia" w:ascii="仿宋_GB2312" w:hAnsi="Times New Roman" w:eastAsia="仿宋_GB2312"/>
          <w:sz w:val="32"/>
          <w:szCs w:val="32"/>
        </w:rPr>
        <w:t>7.</w:t>
      </w:r>
      <w:r>
        <w:rPr>
          <w:rFonts w:hint="eastAsia" w:ascii="仿宋_GB2312" w:hAnsi="仿宋_GB2312" w:eastAsia="仿宋_GB2312"/>
          <w:sz w:val="32"/>
          <w:szCs w:val="32"/>
        </w:rPr>
        <w:t>社交、适应等。</w:t>
      </w:r>
    </w:p>
    <w:p w14:paraId="0470CF86">
      <w:pPr>
        <w:overflowPunct w:val="0"/>
        <w:autoSpaceDE w:val="0"/>
        <w:autoSpaceDN w:val="0"/>
        <w:adjustRightInd w:val="0"/>
        <w:snapToGrid w:val="0"/>
        <w:spacing w:line="570" w:lineRule="exact"/>
        <w:ind w:firstLine="640"/>
        <w:rPr>
          <w:rFonts w:ascii="仿宋_GB2312" w:hAnsi="Times New Roman" w:eastAsia="仿宋_GB2312"/>
          <w:bCs/>
          <w:sz w:val="32"/>
          <w:szCs w:val="32"/>
        </w:rPr>
      </w:pPr>
      <w:r>
        <w:rPr>
          <w:rFonts w:hint="eastAsia" w:ascii="楷体_GB2312" w:hAnsi="Times New Roman" w:eastAsia="楷体_GB2312"/>
          <w:bCs/>
          <w:sz w:val="32"/>
          <w:szCs w:val="32"/>
        </w:rPr>
        <w:t>（四）复审期限</w:t>
      </w:r>
    </w:p>
    <w:p w14:paraId="04819616">
      <w:pPr>
        <w:pStyle w:val="12"/>
        <w:widowControl w:val="0"/>
        <w:overflowPunct w:val="0"/>
        <w:autoSpaceDE w:val="0"/>
        <w:autoSpaceDN w:val="0"/>
        <w:adjustRightInd w:val="0"/>
        <w:snapToGrid w:val="0"/>
        <w:spacing w:line="570" w:lineRule="exact"/>
        <w:ind w:firstLine="0"/>
        <w:jc w:val="both"/>
        <w:rPr>
          <w:rFonts w:ascii="仿宋_GB2312" w:hAnsi="Times New Roman" w:eastAsia="仿宋_GB2312"/>
          <w:bCs/>
          <w:sz w:val="32"/>
          <w:szCs w:val="32"/>
        </w:rPr>
      </w:pPr>
      <w:r>
        <w:rPr>
          <w:rFonts w:hint="eastAsia" w:ascii="仿宋_GB2312" w:hAnsi="Times New Roman" w:eastAsia="仿宋_GB2312"/>
          <w:bCs/>
          <w:sz w:val="32"/>
          <w:szCs w:val="32"/>
        </w:rPr>
        <w:t xml:space="preserve">    </w:t>
      </w:r>
      <w:r>
        <w:rPr>
          <w:rFonts w:hint="eastAsia" w:ascii="仿宋_GB2312" w:hAnsi="仿宋_GB2312" w:eastAsia="仿宋_GB2312"/>
          <w:bCs/>
          <w:sz w:val="32"/>
          <w:szCs w:val="32"/>
        </w:rPr>
        <w:t>每</w:t>
      </w:r>
      <w:r>
        <w:rPr>
          <w:rFonts w:hint="eastAsia" w:ascii="仿宋_GB2312" w:hAnsi="Times New Roman" w:eastAsia="仿宋_GB2312"/>
          <w:bCs/>
          <w:sz w:val="32"/>
          <w:szCs w:val="32"/>
        </w:rPr>
        <w:t>5</w:t>
      </w:r>
      <w:r>
        <w:rPr>
          <w:rFonts w:hint="eastAsia" w:ascii="仿宋_GB2312" w:hAnsi="仿宋_GB2312" w:eastAsia="仿宋_GB2312"/>
          <w:bCs/>
          <w:sz w:val="32"/>
          <w:szCs w:val="32"/>
        </w:rPr>
        <w:t>年复审一次。</w:t>
      </w:r>
    </w:p>
    <w:p w14:paraId="1A8FD052">
      <w:pPr>
        <w:pStyle w:val="12"/>
        <w:widowControl w:val="0"/>
        <w:overflowPunct w:val="0"/>
        <w:autoSpaceDE w:val="0"/>
        <w:autoSpaceDN w:val="0"/>
        <w:adjustRightInd w:val="0"/>
        <w:snapToGrid w:val="0"/>
        <w:spacing w:line="570" w:lineRule="exact"/>
        <w:ind w:firstLine="640"/>
        <w:jc w:val="both"/>
        <w:rPr>
          <w:rFonts w:ascii="黑体" w:hAnsi="黑体" w:eastAsia="黑体"/>
          <w:b/>
          <w:bCs/>
          <w:sz w:val="32"/>
          <w:szCs w:val="32"/>
        </w:rPr>
      </w:pPr>
      <w:r>
        <w:rPr>
          <w:rFonts w:hint="eastAsia" w:ascii="黑体" w:hAnsi="黑体" w:eastAsia="黑体"/>
          <w:sz w:val="32"/>
          <w:szCs w:val="32"/>
        </w:rPr>
        <w:t>十四、癫痫</w:t>
      </w:r>
    </w:p>
    <w:p w14:paraId="1CD6CC38">
      <w:pPr>
        <w:overflowPunct w:val="0"/>
        <w:autoSpaceDE w:val="0"/>
        <w:autoSpaceDN w:val="0"/>
        <w:adjustRightInd w:val="0"/>
        <w:snapToGrid w:val="0"/>
        <w:spacing w:line="570" w:lineRule="exact"/>
        <w:ind w:firstLine="640"/>
        <w:rPr>
          <w:rFonts w:ascii="楷体_GB2312" w:hAnsi="Times New Roman" w:eastAsia="楷体_GB2312"/>
          <w:bCs/>
          <w:sz w:val="32"/>
          <w:szCs w:val="32"/>
        </w:rPr>
      </w:pPr>
      <w:r>
        <w:rPr>
          <w:rFonts w:hint="eastAsia" w:ascii="楷体_GB2312" w:hAnsi="Times New Roman" w:eastAsia="楷体_GB2312"/>
          <w:bCs/>
          <w:sz w:val="32"/>
          <w:szCs w:val="32"/>
        </w:rPr>
        <w:t>（一）申报资料</w:t>
      </w:r>
    </w:p>
    <w:p w14:paraId="0ACC4901">
      <w:pPr>
        <w:overflowPunct w:val="0"/>
        <w:autoSpaceDE w:val="0"/>
        <w:autoSpaceDN w:val="0"/>
        <w:adjustRightInd w:val="0"/>
        <w:snapToGrid w:val="0"/>
        <w:spacing w:line="570" w:lineRule="exact"/>
        <w:rPr>
          <w:rFonts w:ascii="仿宋_GB2312" w:hAnsi="Times New Roman" w:eastAsia="仿宋_GB2312"/>
          <w:sz w:val="32"/>
          <w:szCs w:val="32"/>
        </w:rPr>
      </w:pPr>
      <w:r>
        <w:rPr>
          <w:rFonts w:hint="eastAsia" w:ascii="仿宋_GB2312" w:hAnsi="Times New Roman" w:eastAsia="仿宋_GB2312"/>
          <w:sz w:val="32"/>
          <w:szCs w:val="32"/>
        </w:rPr>
        <w:t xml:space="preserve">    1.初次申办者须提供患者本人近1年内的住院病历，待遇期满续办者提供医保定点医疗机构的体检资料和3个月内购药发票、清单，并加盖医保定点医疗机构公章；</w:t>
      </w:r>
    </w:p>
    <w:p w14:paraId="75B386C6">
      <w:pPr>
        <w:overflowPunct w:val="0"/>
        <w:autoSpaceDE w:val="0"/>
        <w:autoSpaceDN w:val="0"/>
        <w:adjustRightInd w:val="0"/>
        <w:snapToGrid w:val="0"/>
        <w:spacing w:line="570" w:lineRule="exact"/>
        <w:ind w:firstLine="640" w:firstLineChars="200"/>
        <w:rPr>
          <w:rFonts w:ascii="仿宋_GB2312" w:hAnsi="Times New Roman" w:eastAsia="仿宋_GB2312"/>
          <w:sz w:val="32"/>
          <w:szCs w:val="32"/>
        </w:rPr>
      </w:pPr>
      <w:r>
        <w:rPr>
          <w:rFonts w:hint="eastAsia" w:ascii="仿宋_GB2312" w:hAnsi="Times New Roman" w:eastAsia="仿宋_GB2312"/>
          <w:sz w:val="32"/>
          <w:szCs w:val="32"/>
        </w:rPr>
        <w:t>2.二级及以上医保定点医疗机构神经内科医师（包括小儿神经内科）及以上签名的治疗计划或开具的购药处方（须注明所用药物的名称、剂量、服用方法）。</w:t>
      </w:r>
    </w:p>
    <w:p w14:paraId="7E726B23">
      <w:pPr>
        <w:overflowPunct w:val="0"/>
        <w:autoSpaceDE w:val="0"/>
        <w:autoSpaceDN w:val="0"/>
        <w:adjustRightInd w:val="0"/>
        <w:snapToGrid w:val="0"/>
        <w:spacing w:line="570" w:lineRule="exact"/>
        <w:ind w:firstLine="640" w:firstLineChars="200"/>
        <w:rPr>
          <w:rFonts w:ascii="仿宋_GB2312" w:hAnsi="Times New Roman" w:eastAsia="仿宋_GB2312"/>
          <w:bCs/>
          <w:sz w:val="32"/>
          <w:szCs w:val="32"/>
        </w:rPr>
      </w:pPr>
      <w:r>
        <w:rPr>
          <w:rFonts w:hint="eastAsia" w:ascii="楷体_GB2312" w:hAnsi="Times New Roman" w:eastAsia="楷体_GB2312"/>
          <w:bCs/>
          <w:sz w:val="32"/>
          <w:szCs w:val="32"/>
        </w:rPr>
        <w:t>（二）治疗指征（认定标准）</w:t>
      </w:r>
    </w:p>
    <w:p w14:paraId="1213D95C">
      <w:pPr>
        <w:overflowPunct w:val="0"/>
        <w:autoSpaceDE w:val="0"/>
        <w:autoSpaceDN w:val="0"/>
        <w:adjustRightInd w:val="0"/>
        <w:snapToGrid w:val="0"/>
        <w:spacing w:line="570" w:lineRule="exact"/>
        <w:ind w:firstLine="640" w:firstLineChars="200"/>
        <w:rPr>
          <w:rFonts w:ascii="仿宋_GB2312" w:hAnsi="Times New Roman" w:eastAsia="仿宋_GB2312"/>
          <w:sz w:val="32"/>
          <w:szCs w:val="32"/>
        </w:rPr>
      </w:pPr>
      <w:r>
        <w:rPr>
          <w:rFonts w:hint="eastAsia" w:ascii="仿宋_GB2312" w:hAnsi="Times New Roman" w:eastAsia="仿宋_GB2312"/>
          <w:sz w:val="32"/>
          <w:szCs w:val="32"/>
        </w:rPr>
        <w:t>1.依据指南推荐的癫痫诊断标准，临床明确诊断1年以上；</w:t>
      </w:r>
    </w:p>
    <w:p w14:paraId="4BA78051">
      <w:pPr>
        <w:overflowPunct w:val="0"/>
        <w:autoSpaceDE w:val="0"/>
        <w:autoSpaceDN w:val="0"/>
        <w:adjustRightInd w:val="0"/>
        <w:snapToGrid w:val="0"/>
        <w:spacing w:line="570" w:lineRule="exact"/>
        <w:ind w:firstLine="640" w:firstLineChars="200"/>
        <w:rPr>
          <w:rFonts w:ascii="仿宋_GB2312" w:hAnsi="Times New Roman" w:eastAsia="仿宋_GB2312"/>
          <w:sz w:val="32"/>
          <w:szCs w:val="32"/>
        </w:rPr>
      </w:pPr>
      <w:r>
        <w:rPr>
          <w:rFonts w:hint="eastAsia" w:ascii="仿宋_GB2312" w:hAnsi="Times New Roman" w:eastAsia="仿宋_GB2312"/>
          <w:sz w:val="32"/>
          <w:szCs w:val="32"/>
        </w:rPr>
        <w:t>2.脑电图或头颅MR或SPECT检查或基因检测支持本病诊断；</w:t>
      </w:r>
    </w:p>
    <w:p w14:paraId="425A27A7">
      <w:pPr>
        <w:pStyle w:val="2"/>
        <w:overflowPunct w:val="0"/>
        <w:autoSpaceDE w:val="0"/>
        <w:autoSpaceDN w:val="0"/>
        <w:adjustRightInd w:val="0"/>
        <w:snapToGrid w:val="0"/>
        <w:spacing w:after="0" w:line="570" w:lineRule="exact"/>
        <w:ind w:left="0" w:leftChars="0"/>
        <w:rPr>
          <w:rFonts w:ascii="仿宋_GB2312" w:hAnsi="Times New Roman" w:eastAsia="仿宋_GB2312"/>
          <w:sz w:val="32"/>
          <w:szCs w:val="32"/>
        </w:rPr>
      </w:pPr>
      <w:r>
        <w:rPr>
          <w:rFonts w:hint="eastAsia" w:ascii="仿宋_GB2312" w:hAnsi="Times New Roman" w:eastAsia="仿宋_GB2312"/>
          <w:sz w:val="32"/>
          <w:szCs w:val="32"/>
        </w:rPr>
        <w:t xml:space="preserve">    3.需要长期规范治疗的患者。</w:t>
      </w:r>
    </w:p>
    <w:p w14:paraId="24473FE6">
      <w:pPr>
        <w:overflowPunct w:val="0"/>
        <w:autoSpaceDE w:val="0"/>
        <w:autoSpaceDN w:val="0"/>
        <w:adjustRightInd w:val="0"/>
        <w:snapToGrid w:val="0"/>
        <w:spacing w:line="570" w:lineRule="exact"/>
        <w:ind w:firstLine="640" w:firstLineChars="200"/>
        <w:rPr>
          <w:rFonts w:ascii="楷体_GB2312" w:hAnsi="Times New Roman" w:eastAsia="楷体_GB2312"/>
          <w:bCs/>
          <w:sz w:val="32"/>
          <w:szCs w:val="32"/>
        </w:rPr>
      </w:pPr>
      <w:r>
        <w:rPr>
          <w:rFonts w:hint="eastAsia" w:ascii="楷体_GB2312" w:hAnsi="Times New Roman" w:eastAsia="楷体_GB2312"/>
          <w:bCs/>
          <w:sz w:val="32"/>
          <w:szCs w:val="32"/>
        </w:rPr>
        <w:t>（三）门诊诊疗范围</w:t>
      </w:r>
    </w:p>
    <w:p w14:paraId="31C34459">
      <w:pPr>
        <w:overflowPunct w:val="0"/>
        <w:autoSpaceDE w:val="0"/>
        <w:autoSpaceDN w:val="0"/>
        <w:adjustRightInd w:val="0"/>
        <w:snapToGrid w:val="0"/>
        <w:spacing w:line="570" w:lineRule="exact"/>
        <w:rPr>
          <w:rFonts w:ascii="仿宋_GB2312" w:hAnsi="Times New Roman" w:eastAsia="仿宋_GB2312"/>
          <w:sz w:val="32"/>
          <w:szCs w:val="32"/>
        </w:rPr>
      </w:pPr>
      <w:r>
        <w:rPr>
          <w:rFonts w:hint="eastAsia" w:ascii="仿宋_GB2312" w:hAnsi="Times New Roman" w:eastAsia="仿宋_GB2312"/>
          <w:sz w:val="32"/>
          <w:szCs w:val="32"/>
        </w:rPr>
        <w:t xml:space="preserve">    1.抗癫痫的药物治疗及相关的对症治疗；</w:t>
      </w:r>
    </w:p>
    <w:p w14:paraId="0880F9F5">
      <w:pPr>
        <w:overflowPunct w:val="0"/>
        <w:autoSpaceDE w:val="0"/>
        <w:autoSpaceDN w:val="0"/>
        <w:adjustRightInd w:val="0"/>
        <w:snapToGrid w:val="0"/>
        <w:spacing w:line="570" w:lineRule="exact"/>
        <w:rPr>
          <w:rFonts w:ascii="仿宋_GB2312" w:hAnsi="Times New Roman" w:eastAsia="仿宋_GB2312"/>
          <w:bCs/>
          <w:sz w:val="32"/>
          <w:szCs w:val="32"/>
        </w:rPr>
      </w:pPr>
      <w:r>
        <w:rPr>
          <w:rFonts w:hint="eastAsia" w:ascii="仿宋_GB2312" w:hAnsi="Times New Roman" w:eastAsia="仿宋_GB2312"/>
          <w:sz w:val="32"/>
          <w:szCs w:val="32"/>
        </w:rPr>
        <w:t xml:space="preserve">    2.相关检查费用。</w:t>
      </w:r>
      <w:r>
        <w:rPr>
          <w:rFonts w:hint="eastAsia" w:ascii="仿宋_GB2312" w:hAnsi="Times New Roman" w:eastAsia="仿宋_GB2312"/>
          <w:bCs/>
          <w:sz w:val="32"/>
          <w:szCs w:val="32"/>
        </w:rPr>
        <w:t xml:space="preserve">    </w:t>
      </w:r>
    </w:p>
    <w:p w14:paraId="0C340A9F">
      <w:pPr>
        <w:overflowPunct w:val="0"/>
        <w:autoSpaceDE w:val="0"/>
        <w:autoSpaceDN w:val="0"/>
        <w:adjustRightInd w:val="0"/>
        <w:snapToGrid w:val="0"/>
        <w:spacing w:line="570" w:lineRule="exact"/>
        <w:ind w:firstLine="640" w:firstLineChars="200"/>
        <w:rPr>
          <w:rFonts w:ascii="仿宋_GB2312" w:hAnsi="Times New Roman" w:eastAsia="仿宋_GB2312"/>
          <w:bCs/>
          <w:sz w:val="32"/>
          <w:szCs w:val="32"/>
        </w:rPr>
      </w:pPr>
      <w:r>
        <w:rPr>
          <w:rFonts w:hint="eastAsia" w:ascii="楷体_GB2312" w:hAnsi="Times New Roman" w:eastAsia="楷体_GB2312"/>
          <w:bCs/>
          <w:sz w:val="32"/>
          <w:szCs w:val="32"/>
        </w:rPr>
        <w:t>（四）复审期限</w:t>
      </w:r>
    </w:p>
    <w:p w14:paraId="5986ECE1">
      <w:pPr>
        <w:overflowPunct w:val="0"/>
        <w:autoSpaceDE w:val="0"/>
        <w:autoSpaceDN w:val="0"/>
        <w:adjustRightInd w:val="0"/>
        <w:snapToGrid w:val="0"/>
        <w:spacing w:line="570" w:lineRule="exact"/>
        <w:rPr>
          <w:rFonts w:ascii="仿宋_GB2312" w:hAnsi="Times New Roman" w:eastAsia="仿宋_GB2312"/>
          <w:sz w:val="32"/>
          <w:szCs w:val="32"/>
        </w:rPr>
      </w:pPr>
      <w:r>
        <w:rPr>
          <w:rFonts w:hint="eastAsia" w:ascii="仿宋_GB2312" w:hAnsi="Times New Roman" w:eastAsia="仿宋_GB2312"/>
          <w:bCs/>
          <w:sz w:val="32"/>
          <w:szCs w:val="32"/>
        </w:rPr>
        <w:t xml:space="preserve">    </w:t>
      </w:r>
      <w:r>
        <w:rPr>
          <w:rFonts w:hint="eastAsia" w:ascii="仿宋_GB2312" w:hAnsi="仿宋_GB2312" w:eastAsia="仿宋_GB2312"/>
          <w:bCs/>
          <w:sz w:val="32"/>
          <w:szCs w:val="32"/>
        </w:rPr>
        <w:t>每</w:t>
      </w:r>
      <w:r>
        <w:rPr>
          <w:rFonts w:hint="eastAsia" w:ascii="仿宋_GB2312" w:hAnsi="Times New Roman" w:eastAsia="仿宋_GB2312"/>
          <w:bCs/>
          <w:sz w:val="32"/>
          <w:szCs w:val="32"/>
        </w:rPr>
        <w:t>3</w:t>
      </w:r>
      <w:r>
        <w:rPr>
          <w:rFonts w:hint="eastAsia" w:ascii="仿宋_GB2312" w:hAnsi="仿宋_GB2312" w:eastAsia="仿宋_GB2312"/>
          <w:bCs/>
          <w:sz w:val="32"/>
          <w:szCs w:val="32"/>
        </w:rPr>
        <w:t>年复审一次。</w:t>
      </w:r>
    </w:p>
    <w:p w14:paraId="78678119">
      <w:pPr>
        <w:pStyle w:val="12"/>
        <w:widowControl w:val="0"/>
        <w:overflowPunct w:val="0"/>
        <w:autoSpaceDE w:val="0"/>
        <w:autoSpaceDN w:val="0"/>
        <w:adjustRightInd w:val="0"/>
        <w:snapToGrid w:val="0"/>
        <w:spacing w:line="570" w:lineRule="exact"/>
        <w:ind w:firstLine="640"/>
        <w:jc w:val="both"/>
        <w:rPr>
          <w:rFonts w:ascii="黑体" w:hAnsi="黑体" w:eastAsia="黑体"/>
          <w:b/>
          <w:bCs/>
          <w:sz w:val="32"/>
          <w:szCs w:val="32"/>
        </w:rPr>
      </w:pPr>
      <w:r>
        <w:rPr>
          <w:rFonts w:hint="eastAsia" w:ascii="黑体" w:hAnsi="黑体" w:eastAsia="黑体"/>
          <w:sz w:val="32"/>
          <w:szCs w:val="32"/>
        </w:rPr>
        <w:t>十五、帕金森病</w:t>
      </w:r>
    </w:p>
    <w:p w14:paraId="17C4EE6B">
      <w:pPr>
        <w:overflowPunct w:val="0"/>
        <w:autoSpaceDE w:val="0"/>
        <w:autoSpaceDN w:val="0"/>
        <w:adjustRightInd w:val="0"/>
        <w:snapToGrid w:val="0"/>
        <w:spacing w:line="570" w:lineRule="exact"/>
        <w:ind w:firstLine="640"/>
        <w:rPr>
          <w:rFonts w:ascii="楷体_GB2312" w:hAnsi="Times New Roman" w:eastAsia="楷体_GB2312"/>
          <w:bCs/>
          <w:sz w:val="32"/>
          <w:szCs w:val="32"/>
        </w:rPr>
      </w:pPr>
      <w:r>
        <w:rPr>
          <w:rFonts w:hint="eastAsia" w:ascii="楷体_GB2312" w:hAnsi="Times New Roman" w:eastAsia="楷体_GB2312"/>
          <w:bCs/>
          <w:sz w:val="32"/>
          <w:szCs w:val="32"/>
        </w:rPr>
        <w:t>（一）申报资料</w:t>
      </w:r>
    </w:p>
    <w:p w14:paraId="680FCDF7">
      <w:pPr>
        <w:overflowPunct w:val="0"/>
        <w:autoSpaceDE w:val="0"/>
        <w:autoSpaceDN w:val="0"/>
        <w:adjustRightInd w:val="0"/>
        <w:snapToGrid w:val="0"/>
        <w:spacing w:line="570" w:lineRule="exact"/>
        <w:rPr>
          <w:rFonts w:ascii="仿宋_GB2312" w:hAnsi="Times New Roman" w:eastAsia="仿宋_GB2312"/>
          <w:sz w:val="32"/>
          <w:szCs w:val="32"/>
        </w:rPr>
      </w:pPr>
      <w:r>
        <w:rPr>
          <w:rFonts w:hint="eastAsia" w:ascii="仿宋_GB2312" w:hAnsi="Times New Roman" w:eastAsia="仿宋_GB2312"/>
          <w:sz w:val="32"/>
          <w:szCs w:val="32"/>
        </w:rPr>
        <w:t xml:space="preserve">    1.初次申办者须提供患者本人6月内与所申报病种相符合的住院病历；待遇期满续办者如无近6月的住院病历，可提供既往与所申报病种相符合的门诊病历，并提供近期的购药发票、清单，并加盖医保定点医疗机构公章；</w:t>
      </w:r>
    </w:p>
    <w:p w14:paraId="338ACB9B">
      <w:pPr>
        <w:overflowPunct w:val="0"/>
        <w:autoSpaceDE w:val="0"/>
        <w:autoSpaceDN w:val="0"/>
        <w:adjustRightInd w:val="0"/>
        <w:snapToGrid w:val="0"/>
        <w:spacing w:line="570" w:lineRule="exact"/>
        <w:ind w:firstLine="640" w:firstLineChars="200"/>
        <w:rPr>
          <w:rFonts w:ascii="仿宋_GB2312" w:hAnsi="Times New Roman" w:eastAsia="仿宋_GB2312"/>
          <w:sz w:val="32"/>
          <w:szCs w:val="32"/>
        </w:rPr>
      </w:pPr>
      <w:r>
        <w:rPr>
          <w:rFonts w:hint="eastAsia" w:ascii="仿宋_GB2312" w:hAnsi="Times New Roman" w:eastAsia="仿宋_GB2312"/>
          <w:sz w:val="32"/>
          <w:szCs w:val="32"/>
        </w:rPr>
        <w:t>2.二级及以上医保定点医疗机构神经内科副主任医师（含副主任医师）以上签名的门诊治疗计划。</w:t>
      </w:r>
    </w:p>
    <w:p w14:paraId="082166B0">
      <w:pPr>
        <w:overflowPunct w:val="0"/>
        <w:autoSpaceDE w:val="0"/>
        <w:autoSpaceDN w:val="0"/>
        <w:adjustRightInd w:val="0"/>
        <w:snapToGrid w:val="0"/>
        <w:spacing w:line="570" w:lineRule="exact"/>
        <w:rPr>
          <w:rFonts w:ascii="仿宋_GB2312" w:hAnsi="Times New Roman" w:eastAsia="仿宋_GB2312"/>
          <w:bCs/>
          <w:sz w:val="32"/>
          <w:szCs w:val="32"/>
        </w:rPr>
      </w:pPr>
      <w:r>
        <w:rPr>
          <w:rFonts w:hint="eastAsia" w:ascii="仿宋_GB2312" w:hAnsi="Times New Roman" w:eastAsia="仿宋_GB2312"/>
          <w:bCs/>
          <w:sz w:val="32"/>
          <w:szCs w:val="32"/>
        </w:rPr>
        <w:t xml:space="preserve">    </w:t>
      </w:r>
      <w:r>
        <w:rPr>
          <w:rFonts w:hint="eastAsia" w:ascii="楷体_GB2312" w:hAnsi="Times New Roman" w:eastAsia="楷体_GB2312"/>
          <w:bCs/>
          <w:sz w:val="32"/>
          <w:szCs w:val="32"/>
        </w:rPr>
        <w:t>（二）治疗指征（认定标准）</w:t>
      </w:r>
    </w:p>
    <w:p w14:paraId="7EC3EEA4">
      <w:pPr>
        <w:overflowPunct w:val="0"/>
        <w:autoSpaceDE w:val="0"/>
        <w:autoSpaceDN w:val="0"/>
        <w:adjustRightInd w:val="0"/>
        <w:snapToGrid w:val="0"/>
        <w:spacing w:line="570" w:lineRule="exact"/>
        <w:ind w:firstLine="640" w:firstLineChars="200"/>
        <w:rPr>
          <w:rFonts w:ascii="仿宋_GB2312" w:hAnsi="Times New Roman" w:eastAsia="仿宋_GB2312"/>
          <w:sz w:val="32"/>
          <w:szCs w:val="32"/>
        </w:rPr>
      </w:pPr>
      <w:r>
        <w:rPr>
          <w:rFonts w:hint="eastAsia" w:ascii="仿宋_GB2312" w:hAnsi="Times New Roman" w:eastAsia="仿宋_GB2312"/>
          <w:sz w:val="32"/>
          <w:szCs w:val="32"/>
        </w:rPr>
        <w:t>1.患者依据国内指南临床表现符合帕金森病诊断标准，对生活有影响；</w:t>
      </w:r>
    </w:p>
    <w:p w14:paraId="30B4D9EB">
      <w:pPr>
        <w:overflowPunct w:val="0"/>
        <w:autoSpaceDE w:val="0"/>
        <w:autoSpaceDN w:val="0"/>
        <w:adjustRightInd w:val="0"/>
        <w:snapToGrid w:val="0"/>
        <w:spacing w:line="570" w:lineRule="exact"/>
        <w:ind w:firstLine="640" w:firstLineChars="200"/>
        <w:rPr>
          <w:rFonts w:ascii="仿宋_GB2312" w:hAnsi="Times New Roman" w:eastAsia="仿宋_GB2312"/>
          <w:sz w:val="32"/>
          <w:szCs w:val="32"/>
        </w:rPr>
      </w:pPr>
      <w:r>
        <w:rPr>
          <w:rFonts w:hint="eastAsia" w:ascii="仿宋_GB2312" w:hAnsi="Times New Roman" w:eastAsia="仿宋_GB2312"/>
          <w:sz w:val="32"/>
          <w:szCs w:val="32"/>
        </w:rPr>
        <w:t>2.头部CT或MRI扫描等检查排除其他相关疾病；</w:t>
      </w:r>
    </w:p>
    <w:p w14:paraId="500F210E">
      <w:pPr>
        <w:pStyle w:val="2"/>
        <w:overflowPunct w:val="0"/>
        <w:autoSpaceDE w:val="0"/>
        <w:autoSpaceDN w:val="0"/>
        <w:adjustRightInd w:val="0"/>
        <w:snapToGrid w:val="0"/>
        <w:spacing w:after="0" w:line="570" w:lineRule="exact"/>
        <w:ind w:left="0" w:leftChars="0"/>
        <w:rPr>
          <w:rFonts w:ascii="仿宋_GB2312" w:hAnsi="Times New Roman" w:eastAsia="仿宋_GB2312"/>
          <w:sz w:val="32"/>
          <w:szCs w:val="32"/>
        </w:rPr>
      </w:pPr>
      <w:r>
        <w:rPr>
          <w:rFonts w:hint="eastAsia" w:ascii="仿宋_GB2312" w:hAnsi="Times New Roman" w:eastAsia="仿宋_GB2312"/>
          <w:sz w:val="32"/>
          <w:szCs w:val="32"/>
        </w:rPr>
        <w:t xml:space="preserve">    3.需要长期规范治疗的患者。</w:t>
      </w:r>
    </w:p>
    <w:p w14:paraId="656F194C">
      <w:pPr>
        <w:overflowPunct w:val="0"/>
        <w:autoSpaceDE w:val="0"/>
        <w:autoSpaceDN w:val="0"/>
        <w:adjustRightInd w:val="0"/>
        <w:snapToGrid w:val="0"/>
        <w:spacing w:line="570" w:lineRule="exact"/>
        <w:ind w:firstLine="640"/>
        <w:rPr>
          <w:rFonts w:ascii="楷体_GB2312" w:hAnsi="Times New Roman" w:eastAsia="楷体_GB2312"/>
          <w:bCs/>
          <w:sz w:val="32"/>
          <w:szCs w:val="32"/>
        </w:rPr>
      </w:pPr>
      <w:r>
        <w:rPr>
          <w:rFonts w:hint="eastAsia" w:ascii="楷体_GB2312" w:hAnsi="Times New Roman" w:eastAsia="楷体_GB2312"/>
          <w:bCs/>
          <w:sz w:val="32"/>
          <w:szCs w:val="32"/>
        </w:rPr>
        <w:t>（三）门诊诊疗范围</w:t>
      </w:r>
    </w:p>
    <w:p w14:paraId="4B70923F">
      <w:pPr>
        <w:overflowPunct w:val="0"/>
        <w:autoSpaceDE w:val="0"/>
        <w:autoSpaceDN w:val="0"/>
        <w:adjustRightInd w:val="0"/>
        <w:snapToGrid w:val="0"/>
        <w:spacing w:line="570" w:lineRule="exact"/>
        <w:rPr>
          <w:rFonts w:ascii="仿宋_GB2312" w:hAnsi="Times New Roman" w:eastAsia="仿宋_GB2312"/>
          <w:sz w:val="32"/>
          <w:szCs w:val="32"/>
        </w:rPr>
      </w:pPr>
      <w:r>
        <w:rPr>
          <w:rFonts w:hint="eastAsia" w:ascii="仿宋_GB2312" w:hAnsi="Times New Roman" w:eastAsia="仿宋_GB2312"/>
          <w:sz w:val="32"/>
          <w:szCs w:val="32"/>
        </w:rPr>
        <w:t xml:space="preserve">    1.抗帕金森病的药物治疗及相关的对症治疗,</w:t>
      </w:r>
    </w:p>
    <w:p w14:paraId="3C5F9731">
      <w:pPr>
        <w:overflowPunct w:val="0"/>
        <w:autoSpaceDE w:val="0"/>
        <w:autoSpaceDN w:val="0"/>
        <w:adjustRightInd w:val="0"/>
        <w:snapToGrid w:val="0"/>
        <w:spacing w:line="570" w:lineRule="exact"/>
        <w:rPr>
          <w:rFonts w:ascii="仿宋_GB2312" w:hAnsi="Times New Roman" w:eastAsia="仿宋_GB2312"/>
          <w:bCs/>
          <w:sz w:val="32"/>
          <w:szCs w:val="32"/>
        </w:rPr>
      </w:pPr>
      <w:r>
        <w:rPr>
          <w:rFonts w:hint="eastAsia" w:ascii="仿宋_GB2312" w:hAnsi="Times New Roman" w:eastAsia="仿宋_GB2312"/>
          <w:sz w:val="32"/>
          <w:szCs w:val="32"/>
        </w:rPr>
        <w:t xml:space="preserve">    2.相关检查费用</w:t>
      </w:r>
    </w:p>
    <w:p w14:paraId="4879F110">
      <w:pPr>
        <w:overflowPunct w:val="0"/>
        <w:autoSpaceDE w:val="0"/>
        <w:autoSpaceDN w:val="0"/>
        <w:adjustRightInd w:val="0"/>
        <w:snapToGrid w:val="0"/>
        <w:spacing w:line="570" w:lineRule="exact"/>
        <w:rPr>
          <w:rFonts w:ascii="仿宋_GB2312" w:hAnsi="Times New Roman" w:eastAsia="仿宋_GB2312"/>
          <w:bCs/>
          <w:sz w:val="32"/>
          <w:szCs w:val="32"/>
        </w:rPr>
      </w:pPr>
      <w:r>
        <w:rPr>
          <w:rFonts w:hint="eastAsia" w:ascii="仿宋_GB2312" w:hAnsi="Times New Roman" w:eastAsia="仿宋_GB2312"/>
          <w:bCs/>
          <w:sz w:val="32"/>
          <w:szCs w:val="32"/>
        </w:rPr>
        <w:t xml:space="preserve">    </w:t>
      </w:r>
      <w:r>
        <w:rPr>
          <w:rFonts w:hint="eastAsia" w:ascii="楷体_GB2312" w:hAnsi="Times New Roman" w:eastAsia="楷体_GB2312"/>
          <w:bCs/>
          <w:sz w:val="32"/>
          <w:szCs w:val="32"/>
        </w:rPr>
        <w:t>（四）复审期限</w:t>
      </w:r>
    </w:p>
    <w:p w14:paraId="384CB422">
      <w:pPr>
        <w:overflowPunct w:val="0"/>
        <w:autoSpaceDE w:val="0"/>
        <w:autoSpaceDN w:val="0"/>
        <w:adjustRightInd w:val="0"/>
        <w:snapToGrid w:val="0"/>
        <w:spacing w:line="570" w:lineRule="exact"/>
        <w:rPr>
          <w:rFonts w:ascii="仿宋_GB2312" w:hAnsi="Times New Roman" w:eastAsia="仿宋_GB2312"/>
          <w:sz w:val="32"/>
          <w:szCs w:val="32"/>
        </w:rPr>
      </w:pPr>
      <w:r>
        <w:rPr>
          <w:rFonts w:hint="eastAsia" w:ascii="仿宋_GB2312" w:hAnsi="Times New Roman" w:eastAsia="仿宋_GB2312"/>
          <w:bCs/>
          <w:sz w:val="32"/>
          <w:szCs w:val="32"/>
        </w:rPr>
        <w:t xml:space="preserve">    </w:t>
      </w:r>
      <w:r>
        <w:rPr>
          <w:rFonts w:hint="eastAsia" w:ascii="仿宋_GB2312" w:hAnsi="仿宋_GB2312" w:eastAsia="仿宋_GB2312"/>
          <w:bCs/>
          <w:sz w:val="32"/>
          <w:szCs w:val="32"/>
        </w:rPr>
        <w:t>每</w:t>
      </w:r>
      <w:r>
        <w:rPr>
          <w:rFonts w:hint="eastAsia" w:ascii="仿宋_GB2312" w:hAnsi="Times New Roman" w:eastAsia="仿宋_GB2312"/>
          <w:bCs/>
          <w:sz w:val="32"/>
          <w:szCs w:val="32"/>
        </w:rPr>
        <w:t>5</w:t>
      </w:r>
      <w:r>
        <w:rPr>
          <w:rFonts w:hint="eastAsia" w:ascii="仿宋_GB2312" w:hAnsi="仿宋_GB2312" w:eastAsia="仿宋_GB2312"/>
          <w:bCs/>
          <w:sz w:val="32"/>
          <w:szCs w:val="32"/>
        </w:rPr>
        <w:t>年复审一次。</w:t>
      </w:r>
    </w:p>
    <w:p w14:paraId="5E1E72C8">
      <w:pPr>
        <w:pStyle w:val="12"/>
        <w:widowControl w:val="0"/>
        <w:overflowPunct w:val="0"/>
        <w:autoSpaceDE w:val="0"/>
        <w:autoSpaceDN w:val="0"/>
        <w:adjustRightInd w:val="0"/>
        <w:snapToGrid w:val="0"/>
        <w:spacing w:line="570" w:lineRule="exact"/>
        <w:ind w:firstLine="640"/>
        <w:jc w:val="both"/>
        <w:rPr>
          <w:rFonts w:ascii="黑体" w:hAnsi="黑体" w:eastAsia="黑体"/>
          <w:b/>
          <w:bCs/>
          <w:sz w:val="32"/>
          <w:szCs w:val="32"/>
        </w:rPr>
      </w:pPr>
      <w:r>
        <w:rPr>
          <w:rFonts w:hint="eastAsia" w:ascii="黑体" w:hAnsi="黑体" w:eastAsia="黑体"/>
          <w:sz w:val="32"/>
          <w:szCs w:val="32"/>
        </w:rPr>
        <w:t>十六、精神分裂症、双向障碍、躁狂症、抑郁症、偏执性情感障碍、分裂情感障碍</w:t>
      </w:r>
    </w:p>
    <w:p w14:paraId="7BEB2DA1">
      <w:pPr>
        <w:overflowPunct w:val="0"/>
        <w:autoSpaceDE w:val="0"/>
        <w:autoSpaceDN w:val="0"/>
        <w:adjustRightInd w:val="0"/>
        <w:snapToGrid w:val="0"/>
        <w:spacing w:line="570" w:lineRule="exact"/>
        <w:ind w:firstLine="640" w:firstLineChars="200"/>
        <w:rPr>
          <w:rFonts w:ascii="楷体_GB2312" w:hAnsi="Times New Roman" w:eastAsia="楷体_GB2312"/>
          <w:bCs/>
          <w:sz w:val="32"/>
          <w:szCs w:val="32"/>
        </w:rPr>
      </w:pPr>
      <w:r>
        <w:rPr>
          <w:rFonts w:hint="eastAsia" w:ascii="楷体_GB2312" w:hAnsi="Times New Roman" w:eastAsia="楷体_GB2312"/>
          <w:bCs/>
          <w:sz w:val="32"/>
          <w:szCs w:val="32"/>
        </w:rPr>
        <w:t>（一）申报资料</w:t>
      </w:r>
    </w:p>
    <w:p w14:paraId="4995B844">
      <w:pPr>
        <w:overflowPunct w:val="0"/>
        <w:autoSpaceDE w:val="0"/>
        <w:autoSpaceDN w:val="0"/>
        <w:adjustRightInd w:val="0"/>
        <w:snapToGrid w:val="0"/>
        <w:spacing w:line="570" w:lineRule="exact"/>
        <w:ind w:firstLine="640"/>
        <w:rPr>
          <w:rFonts w:ascii="仿宋_GB2312" w:hAnsi="Times New Roman" w:eastAsia="仿宋_GB2312"/>
          <w:sz w:val="32"/>
          <w:szCs w:val="32"/>
        </w:rPr>
      </w:pPr>
      <w:r>
        <w:rPr>
          <w:rFonts w:hint="eastAsia" w:ascii="仿宋_GB2312" w:hAnsi="Times New Roman" w:eastAsia="仿宋_GB2312"/>
          <w:bCs/>
          <w:sz w:val="32"/>
          <w:szCs w:val="32"/>
        </w:rPr>
        <w:t>1.</w:t>
      </w:r>
      <w:r>
        <w:rPr>
          <w:rFonts w:hint="eastAsia" w:ascii="仿宋_GB2312" w:hAnsi="仿宋_GB2312" w:eastAsia="仿宋_GB2312"/>
          <w:sz w:val="32"/>
          <w:szCs w:val="32"/>
        </w:rPr>
        <w:t>初次申报者须提供患者本人近半年内在精神病专科医院或二级及以上综合医院精神卫生科的住院病历，期满续办者如无近半年的住院病历，应提供与所申报病种相符合的三级精神病专科医院或三级综合医院精神卫生科的门诊病历，精神科副主任医师以上（含副主任医师）开具的诊断证明，并提供近期的购药发票、处方，并加盖医院公章；</w:t>
      </w:r>
    </w:p>
    <w:p w14:paraId="2C10E75B">
      <w:pPr>
        <w:overflowPunct w:val="0"/>
        <w:autoSpaceDE w:val="0"/>
        <w:autoSpaceDN w:val="0"/>
        <w:adjustRightInd w:val="0"/>
        <w:snapToGrid w:val="0"/>
        <w:spacing w:line="570" w:lineRule="exact"/>
        <w:rPr>
          <w:rFonts w:ascii="仿宋_GB2312" w:hAnsi="Times New Roman" w:eastAsia="仿宋_GB2312"/>
          <w:sz w:val="32"/>
          <w:szCs w:val="32"/>
        </w:rPr>
      </w:pPr>
      <w:r>
        <w:rPr>
          <w:rFonts w:hint="eastAsia" w:ascii="仿宋_GB2312" w:hAnsi="Times New Roman" w:eastAsia="仿宋_GB2312"/>
          <w:sz w:val="32"/>
          <w:szCs w:val="32"/>
        </w:rPr>
        <w:t xml:space="preserve">    2</w:t>
      </w:r>
      <w:r>
        <w:rPr>
          <w:rFonts w:hint="eastAsia" w:ascii="仿宋_GB2312" w:hAnsi="仿宋_GB2312" w:eastAsia="仿宋_GB2312"/>
          <w:sz w:val="32"/>
          <w:szCs w:val="32"/>
        </w:rPr>
        <w:t>.精神科副主任医师（含副主任医师）以上签名的长期门诊诊疗计划。</w:t>
      </w:r>
    </w:p>
    <w:p w14:paraId="6E228404">
      <w:pPr>
        <w:overflowPunct w:val="0"/>
        <w:autoSpaceDE w:val="0"/>
        <w:autoSpaceDN w:val="0"/>
        <w:adjustRightInd w:val="0"/>
        <w:snapToGrid w:val="0"/>
        <w:spacing w:line="570" w:lineRule="exact"/>
        <w:rPr>
          <w:rFonts w:ascii="楷体_GB2312" w:hAnsi="Times New Roman" w:eastAsia="楷体_GB2312"/>
          <w:bCs/>
          <w:sz w:val="32"/>
          <w:szCs w:val="32"/>
        </w:rPr>
      </w:pPr>
      <w:r>
        <w:rPr>
          <w:rFonts w:hint="eastAsia" w:ascii="仿宋_GB2312" w:hAnsi="Times New Roman" w:eastAsia="仿宋_GB2312"/>
          <w:bCs/>
          <w:sz w:val="32"/>
          <w:szCs w:val="32"/>
        </w:rPr>
        <w:t xml:space="preserve">    </w:t>
      </w:r>
      <w:r>
        <w:rPr>
          <w:rFonts w:hint="eastAsia" w:ascii="楷体_GB2312" w:hAnsi="Times New Roman" w:eastAsia="楷体_GB2312"/>
          <w:bCs/>
          <w:sz w:val="32"/>
          <w:szCs w:val="32"/>
        </w:rPr>
        <w:t>（二）治疗指征（认定标准）</w:t>
      </w:r>
    </w:p>
    <w:p w14:paraId="47E45493">
      <w:pPr>
        <w:overflowPunct w:val="0"/>
        <w:autoSpaceDE w:val="0"/>
        <w:autoSpaceDN w:val="0"/>
        <w:adjustRightInd w:val="0"/>
        <w:snapToGrid w:val="0"/>
        <w:spacing w:line="570" w:lineRule="exact"/>
        <w:ind w:firstLine="640"/>
        <w:rPr>
          <w:rFonts w:ascii="仿宋_GB2312" w:hAnsi="Times New Roman" w:eastAsia="仿宋_GB2312"/>
          <w:sz w:val="32"/>
          <w:szCs w:val="32"/>
        </w:rPr>
      </w:pPr>
      <w:r>
        <w:rPr>
          <w:rFonts w:hint="eastAsia" w:ascii="仿宋_GB2312" w:hAnsi="Times New Roman" w:eastAsia="仿宋_GB2312"/>
          <w:sz w:val="32"/>
          <w:szCs w:val="32"/>
        </w:rPr>
        <w:t>上述疾病符合国内教材或指南诊断标准，需要长期规范治疗的患者。</w:t>
      </w:r>
    </w:p>
    <w:p w14:paraId="0A1FFC5D">
      <w:pPr>
        <w:overflowPunct w:val="0"/>
        <w:autoSpaceDE w:val="0"/>
        <w:autoSpaceDN w:val="0"/>
        <w:adjustRightInd w:val="0"/>
        <w:snapToGrid w:val="0"/>
        <w:spacing w:line="570" w:lineRule="exact"/>
        <w:ind w:firstLine="640" w:firstLineChars="200"/>
        <w:rPr>
          <w:rFonts w:ascii="楷体_GB2312" w:hAnsi="Times New Roman" w:eastAsia="楷体_GB2312"/>
          <w:bCs/>
          <w:sz w:val="32"/>
          <w:szCs w:val="32"/>
        </w:rPr>
      </w:pPr>
      <w:r>
        <w:rPr>
          <w:rFonts w:hint="eastAsia" w:ascii="楷体_GB2312" w:hAnsi="Times New Roman" w:eastAsia="楷体_GB2312"/>
          <w:bCs/>
          <w:sz w:val="32"/>
          <w:szCs w:val="32"/>
        </w:rPr>
        <w:t>（三）门诊诊疗范围</w:t>
      </w:r>
    </w:p>
    <w:p w14:paraId="0F1EB19E">
      <w:pPr>
        <w:overflowPunct w:val="0"/>
        <w:autoSpaceDE w:val="0"/>
        <w:autoSpaceDN w:val="0"/>
        <w:adjustRightInd w:val="0"/>
        <w:snapToGrid w:val="0"/>
        <w:spacing w:line="570" w:lineRule="exact"/>
        <w:ind w:firstLine="640"/>
        <w:rPr>
          <w:rFonts w:ascii="仿宋_GB2312" w:hAnsi="Times New Roman" w:eastAsia="仿宋_GB2312"/>
          <w:sz w:val="32"/>
          <w:szCs w:val="32"/>
        </w:rPr>
      </w:pPr>
      <w:r>
        <w:rPr>
          <w:rFonts w:hint="eastAsia" w:ascii="仿宋_GB2312" w:hAnsi="Times New Roman" w:eastAsia="仿宋_GB2312"/>
          <w:sz w:val="32"/>
          <w:szCs w:val="32"/>
        </w:rPr>
        <w:t>1.</w:t>
      </w:r>
      <w:r>
        <w:rPr>
          <w:rFonts w:hint="eastAsia" w:ascii="仿宋_GB2312" w:hAnsi="仿宋_GB2312" w:eastAsia="仿宋_GB2312"/>
          <w:sz w:val="32"/>
          <w:szCs w:val="32"/>
        </w:rPr>
        <w:t>抗精神病类药物治疗；</w:t>
      </w:r>
    </w:p>
    <w:p w14:paraId="2484DF97">
      <w:pPr>
        <w:overflowPunct w:val="0"/>
        <w:autoSpaceDE w:val="0"/>
        <w:autoSpaceDN w:val="0"/>
        <w:adjustRightInd w:val="0"/>
        <w:snapToGrid w:val="0"/>
        <w:spacing w:line="570" w:lineRule="exact"/>
        <w:ind w:firstLine="640"/>
        <w:rPr>
          <w:rFonts w:ascii="仿宋_GB2312" w:hAnsi="Times New Roman" w:eastAsia="仿宋_GB2312"/>
          <w:sz w:val="32"/>
          <w:szCs w:val="32"/>
        </w:rPr>
      </w:pPr>
      <w:r>
        <w:rPr>
          <w:rFonts w:hint="eastAsia" w:ascii="仿宋_GB2312" w:hAnsi="Times New Roman" w:eastAsia="仿宋_GB2312"/>
          <w:sz w:val="32"/>
          <w:szCs w:val="32"/>
        </w:rPr>
        <w:t>2.</w:t>
      </w:r>
      <w:r>
        <w:rPr>
          <w:rFonts w:hint="eastAsia" w:ascii="仿宋_GB2312" w:hAnsi="仿宋_GB2312" w:eastAsia="仿宋_GB2312"/>
          <w:sz w:val="32"/>
          <w:szCs w:val="32"/>
        </w:rPr>
        <w:t>该病种服药期间所需监测的检验检查等；</w:t>
      </w:r>
    </w:p>
    <w:p w14:paraId="20682C12">
      <w:pPr>
        <w:overflowPunct w:val="0"/>
        <w:autoSpaceDE w:val="0"/>
        <w:autoSpaceDN w:val="0"/>
        <w:adjustRightInd w:val="0"/>
        <w:snapToGrid w:val="0"/>
        <w:spacing w:line="570" w:lineRule="exact"/>
        <w:ind w:firstLine="640"/>
        <w:rPr>
          <w:rFonts w:ascii="仿宋_GB2312" w:hAnsi="Times New Roman" w:eastAsia="仿宋_GB2312"/>
          <w:bCs/>
          <w:sz w:val="32"/>
          <w:szCs w:val="32"/>
        </w:rPr>
      </w:pPr>
      <w:r>
        <w:rPr>
          <w:rFonts w:hint="eastAsia" w:ascii="仿宋_GB2312" w:hAnsi="Times New Roman" w:eastAsia="仿宋_GB2312"/>
          <w:sz w:val="32"/>
          <w:szCs w:val="32"/>
        </w:rPr>
        <w:t>3.</w:t>
      </w:r>
      <w:r>
        <w:rPr>
          <w:rFonts w:hint="eastAsia" w:ascii="仿宋_GB2312" w:hAnsi="仿宋_GB2312" w:eastAsia="仿宋_GB2312"/>
          <w:sz w:val="32"/>
          <w:szCs w:val="32"/>
        </w:rPr>
        <w:t>促进精神康复、社会功能恢复的心理治疗、物理治疗等。</w:t>
      </w:r>
    </w:p>
    <w:p w14:paraId="1A349F5F">
      <w:pPr>
        <w:overflowPunct w:val="0"/>
        <w:autoSpaceDE w:val="0"/>
        <w:autoSpaceDN w:val="0"/>
        <w:adjustRightInd w:val="0"/>
        <w:snapToGrid w:val="0"/>
        <w:spacing w:line="570" w:lineRule="exact"/>
        <w:rPr>
          <w:rFonts w:ascii="楷体_GB2312" w:hAnsi="Times New Roman" w:eastAsia="楷体_GB2312"/>
          <w:bCs/>
          <w:sz w:val="32"/>
          <w:szCs w:val="32"/>
        </w:rPr>
      </w:pPr>
      <w:r>
        <w:rPr>
          <w:rFonts w:hint="eastAsia" w:ascii="仿宋_GB2312" w:hAnsi="Times New Roman" w:eastAsia="仿宋_GB2312"/>
          <w:bCs/>
          <w:sz w:val="32"/>
          <w:szCs w:val="32"/>
        </w:rPr>
        <w:t xml:space="preserve">    </w:t>
      </w:r>
      <w:r>
        <w:rPr>
          <w:rFonts w:hint="eastAsia" w:ascii="楷体_GB2312" w:hAnsi="Times New Roman" w:eastAsia="楷体_GB2312"/>
          <w:bCs/>
          <w:sz w:val="32"/>
          <w:szCs w:val="32"/>
        </w:rPr>
        <w:t>（四）复审期限</w:t>
      </w:r>
    </w:p>
    <w:p w14:paraId="445DED65">
      <w:pPr>
        <w:overflowPunct w:val="0"/>
        <w:autoSpaceDE w:val="0"/>
        <w:autoSpaceDN w:val="0"/>
        <w:adjustRightInd w:val="0"/>
        <w:snapToGrid w:val="0"/>
        <w:spacing w:line="570" w:lineRule="exact"/>
        <w:ind w:firstLine="640"/>
        <w:rPr>
          <w:rFonts w:ascii="仿宋_GB2312" w:hAnsi="Times New Roman" w:eastAsia="仿宋_GB2312"/>
          <w:bCs/>
          <w:sz w:val="32"/>
          <w:szCs w:val="32"/>
        </w:rPr>
      </w:pPr>
      <w:r>
        <w:rPr>
          <w:rFonts w:hint="eastAsia" w:ascii="仿宋_GB2312" w:hAnsi="仿宋_GB2312" w:eastAsia="仿宋_GB2312"/>
          <w:bCs/>
          <w:sz w:val="32"/>
          <w:szCs w:val="32"/>
        </w:rPr>
        <w:t>每</w:t>
      </w:r>
      <w:r>
        <w:rPr>
          <w:rFonts w:hint="eastAsia" w:ascii="仿宋_GB2312" w:hAnsi="Times New Roman" w:eastAsia="仿宋_GB2312"/>
          <w:bCs/>
          <w:sz w:val="32"/>
          <w:szCs w:val="32"/>
        </w:rPr>
        <w:t>10</w:t>
      </w:r>
      <w:r>
        <w:rPr>
          <w:rFonts w:hint="eastAsia" w:ascii="仿宋_GB2312" w:hAnsi="仿宋_GB2312" w:eastAsia="仿宋_GB2312"/>
          <w:bCs/>
          <w:sz w:val="32"/>
          <w:szCs w:val="32"/>
        </w:rPr>
        <w:t>年复审一次。</w:t>
      </w:r>
    </w:p>
    <w:p w14:paraId="5D30F16E">
      <w:pPr>
        <w:pStyle w:val="2"/>
        <w:overflowPunct w:val="0"/>
        <w:autoSpaceDE w:val="0"/>
        <w:autoSpaceDN w:val="0"/>
        <w:adjustRightInd w:val="0"/>
        <w:snapToGrid w:val="0"/>
        <w:spacing w:after="0" w:line="570" w:lineRule="exact"/>
        <w:ind w:left="0" w:leftChars="0"/>
        <w:rPr>
          <w:rFonts w:ascii="仿宋_GB2312" w:hAnsi="Times New Roman" w:eastAsia="仿宋_GB2312"/>
          <w:bCs/>
          <w:sz w:val="32"/>
          <w:szCs w:val="32"/>
        </w:rPr>
      </w:pPr>
      <w:r>
        <w:rPr>
          <w:rFonts w:hint="eastAsia" w:ascii="仿宋_GB2312" w:hAnsi="Times New Roman" w:eastAsia="仿宋_GB2312"/>
          <w:bCs/>
          <w:sz w:val="32"/>
          <w:szCs w:val="32"/>
        </w:rPr>
        <w:t xml:space="preserve">    </w:t>
      </w:r>
      <w:r>
        <w:rPr>
          <w:rFonts w:hint="eastAsia" w:ascii="仿宋_GB2312" w:hAnsi="仿宋_GB2312" w:eastAsia="仿宋_GB2312"/>
          <w:bCs/>
          <w:sz w:val="32"/>
          <w:szCs w:val="32"/>
        </w:rPr>
        <w:t>备注：心境障碍包括双向障碍、躁狂症、抑郁症，再不作为一个病种单独列出。</w:t>
      </w:r>
    </w:p>
    <w:p w14:paraId="746D8B7D">
      <w:pPr>
        <w:overflowPunct w:val="0"/>
        <w:autoSpaceDE w:val="0"/>
        <w:autoSpaceDN w:val="0"/>
        <w:adjustRightInd w:val="0"/>
        <w:snapToGrid w:val="0"/>
        <w:spacing w:line="570" w:lineRule="exact"/>
        <w:rPr>
          <w:rFonts w:ascii="黑体" w:hAnsi="黑体" w:eastAsia="黑体"/>
          <w:b/>
          <w:bCs/>
          <w:sz w:val="32"/>
          <w:szCs w:val="32"/>
        </w:rPr>
      </w:pPr>
      <w:r>
        <w:rPr>
          <w:rFonts w:hint="eastAsia" w:ascii="仿宋_GB2312" w:hAnsi="Times New Roman" w:eastAsia="仿宋_GB2312"/>
          <w:kern w:val="0"/>
          <w:sz w:val="32"/>
          <w:szCs w:val="32"/>
        </w:rPr>
        <w:t xml:space="preserve">   </w:t>
      </w:r>
      <w:r>
        <w:rPr>
          <w:rFonts w:hint="eastAsia" w:ascii="黑体" w:hAnsi="黑体" w:eastAsia="黑体"/>
          <w:kern w:val="0"/>
          <w:sz w:val="32"/>
          <w:szCs w:val="32"/>
        </w:rPr>
        <w:t xml:space="preserve"> 十七、</w:t>
      </w:r>
      <w:r>
        <w:rPr>
          <w:rFonts w:hint="eastAsia" w:ascii="黑体" w:hAnsi="黑体" w:eastAsia="黑体"/>
          <w:sz w:val="32"/>
          <w:szCs w:val="32"/>
        </w:rPr>
        <w:t>器质性精神病、精神发育迟滞所致精神障碍、癫痫性精神病</w:t>
      </w:r>
    </w:p>
    <w:p w14:paraId="58DE248A">
      <w:pPr>
        <w:overflowPunct w:val="0"/>
        <w:autoSpaceDE w:val="0"/>
        <w:autoSpaceDN w:val="0"/>
        <w:adjustRightInd w:val="0"/>
        <w:snapToGrid w:val="0"/>
        <w:spacing w:line="570" w:lineRule="exact"/>
        <w:ind w:firstLine="640" w:firstLineChars="200"/>
        <w:rPr>
          <w:rFonts w:ascii="楷体_GB2312" w:hAnsi="Times New Roman" w:eastAsia="楷体_GB2312"/>
          <w:bCs/>
          <w:sz w:val="32"/>
          <w:szCs w:val="32"/>
        </w:rPr>
      </w:pPr>
      <w:r>
        <w:rPr>
          <w:rFonts w:hint="eastAsia" w:ascii="楷体_GB2312" w:hAnsi="Times New Roman" w:eastAsia="楷体_GB2312"/>
          <w:bCs/>
          <w:sz w:val="32"/>
          <w:szCs w:val="32"/>
        </w:rPr>
        <w:t>（一）申报资料</w:t>
      </w:r>
    </w:p>
    <w:p w14:paraId="320A3AD2">
      <w:pPr>
        <w:overflowPunct w:val="0"/>
        <w:autoSpaceDE w:val="0"/>
        <w:autoSpaceDN w:val="0"/>
        <w:adjustRightInd w:val="0"/>
        <w:snapToGrid w:val="0"/>
        <w:spacing w:line="570" w:lineRule="exact"/>
        <w:ind w:firstLine="640"/>
        <w:rPr>
          <w:rFonts w:ascii="仿宋_GB2312" w:hAnsi="Times New Roman" w:eastAsia="仿宋_GB2312"/>
          <w:sz w:val="32"/>
          <w:szCs w:val="32"/>
        </w:rPr>
      </w:pPr>
      <w:r>
        <w:rPr>
          <w:rFonts w:hint="eastAsia" w:ascii="仿宋_GB2312" w:hAnsi="Times New Roman" w:eastAsia="仿宋_GB2312"/>
          <w:sz w:val="32"/>
          <w:szCs w:val="32"/>
        </w:rPr>
        <w:t>1.</w:t>
      </w:r>
      <w:r>
        <w:rPr>
          <w:rFonts w:hint="eastAsia" w:ascii="仿宋_GB2312" w:hAnsi="仿宋_GB2312" w:eastAsia="仿宋_GB2312"/>
          <w:sz w:val="32"/>
          <w:szCs w:val="32"/>
        </w:rPr>
        <w:t>初次申报者须提供患者本人近半年内在精神病专科医院或二级及以上综合医院精神卫生科的住院病历，期满续办者如无近半年的住院病历，可提供与所申报病种相符合的三级精神病专科医院或三级综合医院精神卫生科的门诊病历，精神科副主任医师以上（含副主任医师）开具的诊断证明，并提供近期的购药发票、处方，并加盖医院公章；</w:t>
      </w:r>
    </w:p>
    <w:p w14:paraId="64BD4869">
      <w:pPr>
        <w:overflowPunct w:val="0"/>
        <w:autoSpaceDE w:val="0"/>
        <w:autoSpaceDN w:val="0"/>
        <w:adjustRightInd w:val="0"/>
        <w:snapToGrid w:val="0"/>
        <w:spacing w:line="570" w:lineRule="exact"/>
        <w:ind w:firstLine="640"/>
        <w:rPr>
          <w:rFonts w:ascii="仿宋_GB2312" w:hAnsi="Times New Roman" w:eastAsia="仿宋_GB2312"/>
          <w:sz w:val="32"/>
          <w:szCs w:val="32"/>
        </w:rPr>
      </w:pPr>
      <w:r>
        <w:rPr>
          <w:rFonts w:hint="eastAsia" w:ascii="仿宋_GB2312" w:hAnsi="Times New Roman" w:eastAsia="仿宋_GB2312"/>
          <w:sz w:val="32"/>
          <w:szCs w:val="32"/>
        </w:rPr>
        <w:t>2.</w:t>
      </w:r>
      <w:r>
        <w:rPr>
          <w:rFonts w:hint="eastAsia" w:ascii="仿宋_GB2312" w:hAnsi="仿宋_GB2312" w:eastAsia="仿宋_GB2312"/>
          <w:sz w:val="32"/>
          <w:szCs w:val="32"/>
        </w:rPr>
        <w:t>有关临床资料（包括病史、症状、体征及相应的检查）</w:t>
      </w:r>
    </w:p>
    <w:p w14:paraId="6A4F8659">
      <w:pPr>
        <w:overflowPunct w:val="0"/>
        <w:autoSpaceDE w:val="0"/>
        <w:autoSpaceDN w:val="0"/>
        <w:adjustRightInd w:val="0"/>
        <w:snapToGrid w:val="0"/>
        <w:spacing w:line="570" w:lineRule="exact"/>
        <w:rPr>
          <w:rFonts w:ascii="仿宋_GB2312" w:hAnsi="Times New Roman" w:eastAsia="仿宋_GB2312"/>
          <w:sz w:val="32"/>
          <w:szCs w:val="32"/>
        </w:rPr>
      </w:pPr>
      <w:r>
        <w:rPr>
          <w:rFonts w:hint="eastAsia" w:ascii="仿宋_GB2312" w:hAnsi="Times New Roman" w:eastAsia="仿宋_GB2312"/>
          <w:sz w:val="32"/>
          <w:szCs w:val="32"/>
        </w:rPr>
        <w:t xml:space="preserve">    3.</w:t>
      </w:r>
      <w:r>
        <w:rPr>
          <w:rFonts w:hint="eastAsia" w:ascii="仿宋_GB2312" w:hAnsi="仿宋_GB2312" w:eastAsia="仿宋_GB2312"/>
          <w:sz w:val="32"/>
          <w:szCs w:val="32"/>
        </w:rPr>
        <w:t>精神科副主任医师（含副主任医师）以上签名的门诊治疗计划。</w:t>
      </w:r>
    </w:p>
    <w:p w14:paraId="227CDFC8">
      <w:pPr>
        <w:overflowPunct w:val="0"/>
        <w:autoSpaceDE w:val="0"/>
        <w:autoSpaceDN w:val="0"/>
        <w:adjustRightInd w:val="0"/>
        <w:snapToGrid w:val="0"/>
        <w:spacing w:line="570" w:lineRule="exact"/>
        <w:rPr>
          <w:rFonts w:ascii="仿宋_GB2312" w:hAnsi="Times New Roman" w:eastAsia="仿宋_GB2312"/>
          <w:bCs/>
          <w:sz w:val="32"/>
          <w:szCs w:val="32"/>
        </w:rPr>
      </w:pPr>
      <w:r>
        <w:rPr>
          <w:rFonts w:hint="eastAsia" w:ascii="仿宋_GB2312" w:hAnsi="Times New Roman" w:eastAsia="仿宋_GB2312"/>
          <w:bCs/>
          <w:sz w:val="32"/>
          <w:szCs w:val="32"/>
        </w:rPr>
        <w:t xml:space="preserve">    </w:t>
      </w:r>
      <w:r>
        <w:rPr>
          <w:rFonts w:hint="eastAsia" w:ascii="楷体_GB2312" w:hAnsi="Times New Roman" w:eastAsia="楷体_GB2312"/>
          <w:bCs/>
          <w:sz w:val="32"/>
          <w:szCs w:val="32"/>
        </w:rPr>
        <w:t>（二）治疗指征（认定标准）</w:t>
      </w:r>
    </w:p>
    <w:p w14:paraId="0AACC669">
      <w:pPr>
        <w:overflowPunct w:val="0"/>
        <w:autoSpaceDE w:val="0"/>
        <w:autoSpaceDN w:val="0"/>
        <w:adjustRightInd w:val="0"/>
        <w:snapToGrid w:val="0"/>
        <w:spacing w:line="570" w:lineRule="exact"/>
        <w:rPr>
          <w:rFonts w:ascii="仿宋_GB2312" w:hAnsi="Times New Roman" w:eastAsia="仿宋_GB2312"/>
          <w:sz w:val="32"/>
          <w:szCs w:val="32"/>
        </w:rPr>
      </w:pPr>
      <w:r>
        <w:rPr>
          <w:rFonts w:hint="eastAsia" w:ascii="仿宋_GB2312" w:hAnsi="Times New Roman" w:eastAsia="仿宋_GB2312"/>
          <w:sz w:val="32"/>
          <w:szCs w:val="32"/>
        </w:rPr>
        <w:t xml:space="preserve">    1.</w:t>
      </w:r>
      <w:r>
        <w:rPr>
          <w:rFonts w:hint="eastAsia" w:ascii="仿宋_GB2312" w:hAnsi="仿宋_GB2312" w:eastAsia="仿宋_GB2312"/>
          <w:sz w:val="32"/>
          <w:szCs w:val="32"/>
        </w:rPr>
        <w:t>符合上述器质性疾病的诊断标准（指南或教材推荐）</w:t>
      </w:r>
    </w:p>
    <w:p w14:paraId="3161A70D">
      <w:pPr>
        <w:overflowPunct w:val="0"/>
        <w:autoSpaceDE w:val="0"/>
        <w:autoSpaceDN w:val="0"/>
        <w:adjustRightInd w:val="0"/>
        <w:snapToGrid w:val="0"/>
        <w:spacing w:line="570" w:lineRule="exact"/>
        <w:rPr>
          <w:rFonts w:ascii="仿宋_GB2312" w:hAnsi="Times New Roman" w:eastAsia="仿宋_GB2312"/>
          <w:sz w:val="32"/>
          <w:szCs w:val="32"/>
        </w:rPr>
      </w:pPr>
      <w:r>
        <w:rPr>
          <w:rFonts w:hint="eastAsia" w:ascii="仿宋_GB2312" w:hAnsi="Times New Roman" w:eastAsia="仿宋_GB2312"/>
          <w:sz w:val="32"/>
          <w:szCs w:val="32"/>
        </w:rPr>
        <w:t xml:space="preserve">    2.需要长期规范治疗的患者。</w:t>
      </w:r>
    </w:p>
    <w:p w14:paraId="3302C7EA">
      <w:pPr>
        <w:overflowPunct w:val="0"/>
        <w:autoSpaceDE w:val="0"/>
        <w:autoSpaceDN w:val="0"/>
        <w:adjustRightInd w:val="0"/>
        <w:snapToGrid w:val="0"/>
        <w:spacing w:line="570" w:lineRule="exact"/>
        <w:ind w:firstLine="640" w:firstLineChars="200"/>
        <w:rPr>
          <w:rFonts w:ascii="楷体_GB2312" w:hAnsi="Times New Roman" w:eastAsia="楷体_GB2312"/>
          <w:bCs/>
          <w:sz w:val="32"/>
          <w:szCs w:val="32"/>
        </w:rPr>
      </w:pPr>
      <w:r>
        <w:rPr>
          <w:rFonts w:hint="eastAsia" w:ascii="楷体_GB2312" w:hAnsi="Times New Roman" w:eastAsia="楷体_GB2312"/>
          <w:bCs/>
          <w:sz w:val="32"/>
          <w:szCs w:val="32"/>
        </w:rPr>
        <w:t>（三）门诊诊疗范围</w:t>
      </w:r>
    </w:p>
    <w:p w14:paraId="6AFB3594">
      <w:pPr>
        <w:overflowPunct w:val="0"/>
        <w:autoSpaceDE w:val="0"/>
        <w:autoSpaceDN w:val="0"/>
        <w:adjustRightInd w:val="0"/>
        <w:snapToGrid w:val="0"/>
        <w:spacing w:line="570" w:lineRule="exact"/>
        <w:rPr>
          <w:rFonts w:ascii="仿宋_GB2312" w:hAnsi="Times New Roman" w:eastAsia="仿宋_GB2312"/>
          <w:sz w:val="32"/>
          <w:szCs w:val="32"/>
        </w:rPr>
      </w:pPr>
      <w:r>
        <w:rPr>
          <w:rFonts w:hint="eastAsia" w:ascii="仿宋_GB2312" w:hAnsi="Times New Roman" w:eastAsia="仿宋_GB2312"/>
          <w:sz w:val="32"/>
          <w:szCs w:val="32"/>
        </w:rPr>
        <w:t xml:space="preserve">    1.</w:t>
      </w:r>
      <w:r>
        <w:rPr>
          <w:rFonts w:hint="eastAsia" w:ascii="仿宋_GB2312" w:hAnsi="仿宋_GB2312" w:eastAsia="仿宋_GB2312"/>
          <w:sz w:val="32"/>
          <w:szCs w:val="32"/>
        </w:rPr>
        <w:t>抗精神病类药物治疗；</w:t>
      </w:r>
    </w:p>
    <w:p w14:paraId="41872753">
      <w:pPr>
        <w:overflowPunct w:val="0"/>
        <w:autoSpaceDE w:val="0"/>
        <w:autoSpaceDN w:val="0"/>
        <w:adjustRightInd w:val="0"/>
        <w:snapToGrid w:val="0"/>
        <w:spacing w:line="570" w:lineRule="exact"/>
        <w:ind w:firstLine="640"/>
        <w:rPr>
          <w:rFonts w:ascii="仿宋_GB2312" w:hAnsi="Times New Roman" w:eastAsia="仿宋_GB2312"/>
          <w:sz w:val="32"/>
          <w:szCs w:val="32"/>
        </w:rPr>
      </w:pPr>
      <w:r>
        <w:rPr>
          <w:rFonts w:hint="eastAsia" w:ascii="仿宋_GB2312" w:hAnsi="Times New Roman" w:eastAsia="仿宋_GB2312"/>
          <w:sz w:val="32"/>
          <w:szCs w:val="32"/>
        </w:rPr>
        <w:t>2.</w:t>
      </w:r>
      <w:r>
        <w:rPr>
          <w:rFonts w:hint="eastAsia" w:ascii="仿宋_GB2312" w:hAnsi="仿宋_GB2312" w:eastAsia="仿宋_GB2312"/>
          <w:sz w:val="32"/>
          <w:szCs w:val="32"/>
        </w:rPr>
        <w:t>原发性疾病的药物治疗</w:t>
      </w:r>
    </w:p>
    <w:p w14:paraId="33FD2E88">
      <w:pPr>
        <w:overflowPunct w:val="0"/>
        <w:autoSpaceDE w:val="0"/>
        <w:autoSpaceDN w:val="0"/>
        <w:adjustRightInd w:val="0"/>
        <w:snapToGrid w:val="0"/>
        <w:spacing w:line="570" w:lineRule="exact"/>
        <w:ind w:firstLine="640"/>
        <w:rPr>
          <w:rFonts w:ascii="仿宋_GB2312" w:hAnsi="Times New Roman" w:eastAsia="仿宋_GB2312"/>
          <w:sz w:val="32"/>
          <w:szCs w:val="32"/>
        </w:rPr>
      </w:pPr>
      <w:r>
        <w:rPr>
          <w:rFonts w:hint="eastAsia" w:ascii="仿宋_GB2312" w:hAnsi="Times New Roman" w:eastAsia="仿宋_GB2312"/>
          <w:sz w:val="32"/>
          <w:szCs w:val="32"/>
        </w:rPr>
        <w:t>3.</w:t>
      </w:r>
      <w:r>
        <w:rPr>
          <w:rFonts w:hint="eastAsia" w:ascii="仿宋_GB2312" w:hAnsi="仿宋_GB2312" w:eastAsia="仿宋_GB2312"/>
          <w:sz w:val="32"/>
          <w:szCs w:val="32"/>
        </w:rPr>
        <w:t>服药期间所需监测的检验检查等；</w:t>
      </w:r>
    </w:p>
    <w:p w14:paraId="12007130">
      <w:pPr>
        <w:overflowPunct w:val="0"/>
        <w:autoSpaceDE w:val="0"/>
        <w:autoSpaceDN w:val="0"/>
        <w:adjustRightInd w:val="0"/>
        <w:snapToGrid w:val="0"/>
        <w:spacing w:line="570" w:lineRule="exact"/>
        <w:ind w:firstLine="640"/>
        <w:rPr>
          <w:rFonts w:ascii="仿宋_GB2312" w:hAnsi="Times New Roman" w:eastAsia="仿宋_GB2312"/>
          <w:bCs/>
          <w:sz w:val="32"/>
          <w:szCs w:val="32"/>
        </w:rPr>
      </w:pPr>
      <w:r>
        <w:rPr>
          <w:rFonts w:hint="eastAsia" w:ascii="仿宋_GB2312" w:hAnsi="Times New Roman" w:eastAsia="仿宋_GB2312"/>
          <w:sz w:val="32"/>
          <w:szCs w:val="32"/>
        </w:rPr>
        <w:t>4.</w:t>
      </w:r>
      <w:r>
        <w:rPr>
          <w:rFonts w:hint="eastAsia" w:ascii="仿宋_GB2312" w:hAnsi="仿宋_GB2312" w:eastAsia="仿宋_GB2312"/>
          <w:sz w:val="32"/>
          <w:szCs w:val="32"/>
        </w:rPr>
        <w:t>促进精神康复、社会功能恢复的心理治疗及物理治疗等。</w:t>
      </w:r>
    </w:p>
    <w:p w14:paraId="551E654A">
      <w:pPr>
        <w:overflowPunct w:val="0"/>
        <w:autoSpaceDE w:val="0"/>
        <w:autoSpaceDN w:val="0"/>
        <w:adjustRightInd w:val="0"/>
        <w:snapToGrid w:val="0"/>
        <w:spacing w:line="570" w:lineRule="exact"/>
        <w:rPr>
          <w:rFonts w:ascii="楷体_GB2312" w:hAnsi="Times New Roman" w:eastAsia="楷体_GB2312"/>
          <w:bCs/>
          <w:sz w:val="32"/>
          <w:szCs w:val="32"/>
        </w:rPr>
      </w:pPr>
      <w:r>
        <w:rPr>
          <w:rFonts w:hint="eastAsia" w:ascii="仿宋_GB2312" w:hAnsi="Times New Roman" w:eastAsia="仿宋_GB2312"/>
          <w:bCs/>
          <w:sz w:val="32"/>
          <w:szCs w:val="32"/>
        </w:rPr>
        <w:t xml:space="preserve">    </w:t>
      </w:r>
      <w:r>
        <w:rPr>
          <w:rFonts w:hint="eastAsia" w:ascii="楷体_GB2312" w:hAnsi="Times New Roman" w:eastAsia="楷体_GB2312"/>
          <w:bCs/>
          <w:sz w:val="32"/>
          <w:szCs w:val="32"/>
        </w:rPr>
        <w:t>（四）复审期限</w:t>
      </w:r>
    </w:p>
    <w:p w14:paraId="2EB9FA29">
      <w:pPr>
        <w:overflowPunct w:val="0"/>
        <w:autoSpaceDE w:val="0"/>
        <w:autoSpaceDN w:val="0"/>
        <w:adjustRightInd w:val="0"/>
        <w:snapToGrid w:val="0"/>
        <w:spacing w:line="570" w:lineRule="exact"/>
        <w:rPr>
          <w:rFonts w:ascii="仿宋_GB2312" w:hAnsi="Times New Roman" w:eastAsia="仿宋_GB2312"/>
          <w:sz w:val="32"/>
          <w:szCs w:val="32"/>
        </w:rPr>
      </w:pPr>
      <w:r>
        <w:rPr>
          <w:rFonts w:hint="eastAsia" w:ascii="仿宋_GB2312" w:hAnsi="Times New Roman" w:eastAsia="仿宋_GB2312"/>
          <w:bCs/>
          <w:sz w:val="32"/>
          <w:szCs w:val="32"/>
        </w:rPr>
        <w:t xml:space="preserve">    </w:t>
      </w:r>
      <w:r>
        <w:rPr>
          <w:rFonts w:hint="eastAsia" w:ascii="仿宋_GB2312" w:hAnsi="仿宋_GB2312" w:eastAsia="仿宋_GB2312"/>
          <w:bCs/>
          <w:sz w:val="32"/>
          <w:szCs w:val="32"/>
        </w:rPr>
        <w:t>每</w:t>
      </w:r>
      <w:r>
        <w:rPr>
          <w:rFonts w:hint="eastAsia" w:ascii="仿宋_GB2312" w:hAnsi="Times New Roman" w:eastAsia="仿宋_GB2312"/>
          <w:bCs/>
          <w:sz w:val="32"/>
          <w:szCs w:val="32"/>
        </w:rPr>
        <w:t>10</w:t>
      </w:r>
      <w:r>
        <w:rPr>
          <w:rFonts w:hint="eastAsia" w:ascii="仿宋_GB2312" w:hAnsi="仿宋_GB2312" w:eastAsia="仿宋_GB2312"/>
          <w:bCs/>
          <w:sz w:val="32"/>
          <w:szCs w:val="32"/>
        </w:rPr>
        <w:t>年复审一次。</w:t>
      </w:r>
    </w:p>
    <w:p w14:paraId="2F4D8ADD">
      <w:pPr>
        <w:pStyle w:val="12"/>
        <w:widowControl w:val="0"/>
        <w:overflowPunct w:val="0"/>
        <w:autoSpaceDE w:val="0"/>
        <w:autoSpaceDN w:val="0"/>
        <w:adjustRightInd w:val="0"/>
        <w:snapToGrid w:val="0"/>
        <w:spacing w:line="570" w:lineRule="exact"/>
        <w:ind w:firstLine="640"/>
        <w:jc w:val="both"/>
        <w:rPr>
          <w:rFonts w:ascii="黑体" w:hAnsi="黑体" w:eastAsia="黑体"/>
          <w:b/>
          <w:bCs/>
          <w:sz w:val="32"/>
          <w:szCs w:val="32"/>
        </w:rPr>
      </w:pPr>
      <w:r>
        <w:rPr>
          <w:rFonts w:hint="eastAsia" w:ascii="黑体" w:hAnsi="黑体" w:eastAsia="黑体"/>
          <w:sz w:val="32"/>
          <w:szCs w:val="32"/>
        </w:rPr>
        <w:t>十八、儿童孤独症</w:t>
      </w:r>
    </w:p>
    <w:p w14:paraId="6FE0E6BD">
      <w:pPr>
        <w:overflowPunct w:val="0"/>
        <w:autoSpaceDE w:val="0"/>
        <w:autoSpaceDN w:val="0"/>
        <w:adjustRightInd w:val="0"/>
        <w:snapToGrid w:val="0"/>
        <w:spacing w:line="570" w:lineRule="exact"/>
        <w:ind w:firstLine="640" w:firstLineChars="200"/>
        <w:rPr>
          <w:rFonts w:ascii="楷体_GB2312" w:hAnsi="Times New Roman" w:eastAsia="楷体_GB2312"/>
          <w:bCs/>
          <w:sz w:val="32"/>
          <w:szCs w:val="32"/>
        </w:rPr>
      </w:pPr>
      <w:r>
        <w:rPr>
          <w:rFonts w:hint="eastAsia" w:ascii="楷体_GB2312" w:hAnsi="Times New Roman" w:eastAsia="楷体_GB2312"/>
          <w:bCs/>
          <w:sz w:val="32"/>
          <w:szCs w:val="32"/>
        </w:rPr>
        <w:t>（一）申报资料</w:t>
      </w:r>
    </w:p>
    <w:p w14:paraId="2417ABB8">
      <w:pPr>
        <w:overflowPunct w:val="0"/>
        <w:autoSpaceDE w:val="0"/>
        <w:autoSpaceDN w:val="0"/>
        <w:adjustRightInd w:val="0"/>
        <w:snapToGrid w:val="0"/>
        <w:spacing w:line="570" w:lineRule="exact"/>
        <w:ind w:firstLine="640"/>
        <w:rPr>
          <w:rFonts w:ascii="仿宋_GB2312" w:hAnsi="Times New Roman" w:eastAsia="仿宋_GB2312"/>
          <w:sz w:val="32"/>
          <w:szCs w:val="32"/>
        </w:rPr>
      </w:pPr>
      <w:r>
        <w:rPr>
          <w:rFonts w:hint="eastAsia" w:ascii="仿宋_GB2312" w:hAnsi="Times New Roman" w:eastAsia="仿宋_GB2312"/>
          <w:sz w:val="32"/>
          <w:szCs w:val="32"/>
        </w:rPr>
        <w:t>1.</w:t>
      </w:r>
      <w:r>
        <w:rPr>
          <w:rFonts w:hint="eastAsia" w:ascii="仿宋_GB2312" w:hAnsi="仿宋_GB2312" w:eastAsia="仿宋_GB2312"/>
          <w:sz w:val="32"/>
          <w:szCs w:val="32"/>
        </w:rPr>
        <w:t>初次申办或续办者需提供患者本人近半年内二级以上专科医院或综合医院的住院康复病历及二级以上专科医院或综合医院儿童康复科、儿科或神经科副主任医师以上（含副主任医师）开具的诊断证明；待遇期满续办资料同上；</w:t>
      </w:r>
    </w:p>
    <w:p w14:paraId="71F1F130">
      <w:pPr>
        <w:overflowPunct w:val="0"/>
        <w:autoSpaceDE w:val="0"/>
        <w:autoSpaceDN w:val="0"/>
        <w:adjustRightInd w:val="0"/>
        <w:snapToGrid w:val="0"/>
        <w:spacing w:line="570" w:lineRule="exact"/>
        <w:rPr>
          <w:rFonts w:ascii="仿宋_GB2312" w:hAnsi="Times New Roman" w:eastAsia="仿宋_GB2312"/>
          <w:sz w:val="32"/>
          <w:szCs w:val="32"/>
        </w:rPr>
      </w:pPr>
      <w:r>
        <w:rPr>
          <w:rFonts w:hint="eastAsia" w:ascii="仿宋_GB2312" w:hAnsi="Times New Roman" w:eastAsia="仿宋_GB2312"/>
          <w:sz w:val="32"/>
          <w:szCs w:val="32"/>
        </w:rPr>
        <w:t xml:space="preserve">    2.</w:t>
      </w:r>
      <w:r>
        <w:rPr>
          <w:rFonts w:hint="eastAsia" w:ascii="仿宋_GB2312" w:hAnsi="仿宋_GB2312" w:eastAsia="仿宋_GB2312"/>
          <w:sz w:val="32"/>
          <w:szCs w:val="32"/>
        </w:rPr>
        <w:t>有关临床资料（包括病史、症状、体征等）；</w:t>
      </w:r>
    </w:p>
    <w:p w14:paraId="30DABA09">
      <w:pPr>
        <w:overflowPunct w:val="0"/>
        <w:autoSpaceDE w:val="0"/>
        <w:autoSpaceDN w:val="0"/>
        <w:adjustRightInd w:val="0"/>
        <w:snapToGrid w:val="0"/>
        <w:spacing w:line="570" w:lineRule="exact"/>
        <w:rPr>
          <w:rFonts w:ascii="仿宋_GB2312" w:hAnsi="Times New Roman" w:eastAsia="仿宋_GB2312"/>
          <w:sz w:val="32"/>
          <w:szCs w:val="32"/>
        </w:rPr>
      </w:pPr>
      <w:r>
        <w:rPr>
          <w:rFonts w:hint="eastAsia" w:ascii="仿宋_GB2312" w:hAnsi="Times New Roman" w:eastAsia="仿宋_GB2312"/>
          <w:sz w:val="32"/>
          <w:szCs w:val="32"/>
        </w:rPr>
        <w:t xml:space="preserve">    3.</w:t>
      </w:r>
      <w:r>
        <w:rPr>
          <w:rFonts w:hint="eastAsia" w:ascii="仿宋_GB2312" w:hAnsi="仿宋_GB2312" w:eastAsia="仿宋_GB2312"/>
          <w:sz w:val="32"/>
          <w:szCs w:val="32"/>
        </w:rPr>
        <w:t>医保定点医院专科康复科室主治医师以上（含主治医师）签名的康复治疗计划（须注明康复项目、次数）。</w:t>
      </w:r>
    </w:p>
    <w:p w14:paraId="025DE55C">
      <w:pPr>
        <w:overflowPunct w:val="0"/>
        <w:autoSpaceDE w:val="0"/>
        <w:autoSpaceDN w:val="0"/>
        <w:adjustRightInd w:val="0"/>
        <w:snapToGrid w:val="0"/>
        <w:spacing w:line="570" w:lineRule="exact"/>
        <w:rPr>
          <w:rFonts w:ascii="仿宋_GB2312" w:hAnsi="Times New Roman" w:eastAsia="仿宋_GB2312"/>
          <w:bCs/>
          <w:sz w:val="32"/>
          <w:szCs w:val="32"/>
        </w:rPr>
      </w:pPr>
      <w:r>
        <w:rPr>
          <w:rFonts w:hint="eastAsia" w:ascii="仿宋_GB2312" w:hAnsi="Times New Roman" w:eastAsia="仿宋_GB2312"/>
          <w:bCs/>
          <w:sz w:val="32"/>
          <w:szCs w:val="32"/>
        </w:rPr>
        <w:t xml:space="preserve">    </w:t>
      </w:r>
      <w:r>
        <w:rPr>
          <w:rFonts w:hint="eastAsia" w:ascii="楷体_GB2312" w:hAnsi="Times New Roman" w:eastAsia="楷体_GB2312"/>
          <w:bCs/>
          <w:sz w:val="32"/>
          <w:szCs w:val="32"/>
        </w:rPr>
        <w:t>（二）治疗指征（认定标准）</w:t>
      </w:r>
    </w:p>
    <w:p w14:paraId="16468DA8">
      <w:pPr>
        <w:overflowPunct w:val="0"/>
        <w:autoSpaceDE w:val="0"/>
        <w:autoSpaceDN w:val="0"/>
        <w:adjustRightInd w:val="0"/>
        <w:snapToGrid w:val="0"/>
        <w:spacing w:line="570" w:lineRule="exact"/>
        <w:ind w:firstLine="640" w:firstLineChars="200"/>
        <w:rPr>
          <w:rFonts w:ascii="仿宋_GB2312" w:hAnsi="Times New Roman" w:eastAsia="仿宋_GB2312"/>
          <w:sz w:val="32"/>
          <w:szCs w:val="32"/>
        </w:rPr>
      </w:pPr>
      <w:r>
        <w:rPr>
          <w:rFonts w:hint="eastAsia" w:ascii="仿宋_GB2312" w:hAnsi="仿宋_GB2312" w:eastAsia="仿宋_GB2312"/>
          <w:sz w:val="32"/>
          <w:szCs w:val="32"/>
        </w:rPr>
        <w:t>符合儿童孤独症诊断标准，经住院或门诊系统康复后仍需长期康复维持治疗的。儿童孤独症诊断标准：</w:t>
      </w:r>
    </w:p>
    <w:p w14:paraId="3C5CD52E">
      <w:pPr>
        <w:pStyle w:val="18"/>
        <w:overflowPunct w:val="0"/>
        <w:autoSpaceDE w:val="0"/>
        <w:autoSpaceDN w:val="0"/>
        <w:adjustRightInd w:val="0"/>
        <w:snapToGrid w:val="0"/>
        <w:spacing w:line="570" w:lineRule="exact"/>
        <w:ind w:firstLine="0"/>
        <w:jc w:val="both"/>
        <w:rPr>
          <w:rFonts w:ascii="仿宋_GB2312" w:hAnsi="Times New Roman" w:eastAsia="仿宋_GB2312" w:cs="Times New Roman"/>
          <w:color w:val="auto"/>
          <w:sz w:val="32"/>
          <w:szCs w:val="32"/>
        </w:rPr>
      </w:pPr>
      <w:r>
        <w:rPr>
          <w:rFonts w:hint="eastAsia" w:ascii="仿宋_GB2312" w:hAnsi="Times New Roman" w:eastAsia="仿宋_GB2312" w:cs="Times New Roman"/>
          <w:color w:val="auto"/>
          <w:sz w:val="32"/>
          <w:szCs w:val="32"/>
        </w:rPr>
        <w:t xml:space="preserve">    1.</w:t>
      </w:r>
      <w:r>
        <w:rPr>
          <w:rFonts w:hint="eastAsia" w:ascii="仿宋_GB2312" w:hAnsi="仿宋_GB2312" w:eastAsia="仿宋_GB2312" w:cs="Times New Roman"/>
          <w:color w:val="auto"/>
          <w:sz w:val="32"/>
          <w:szCs w:val="32"/>
        </w:rPr>
        <w:t>询问病史：详细了解患儿的生长发育过程</w:t>
      </w:r>
      <w:r>
        <w:rPr>
          <w:rFonts w:hint="eastAsia" w:ascii="仿宋_GB2312" w:hAnsi="Times New Roman" w:eastAsia="仿宋_GB2312" w:cs="Times New Roman"/>
          <w:color w:val="auto"/>
          <w:sz w:val="32"/>
          <w:szCs w:val="32"/>
        </w:rPr>
        <w:t>,</w:t>
      </w:r>
      <w:r>
        <w:rPr>
          <w:rFonts w:hint="eastAsia" w:ascii="仿宋_GB2312" w:hAnsi="仿宋_GB2312" w:eastAsia="仿宋_GB2312" w:cs="Times New Roman"/>
          <w:color w:val="auto"/>
          <w:sz w:val="32"/>
          <w:szCs w:val="32"/>
        </w:rPr>
        <w:t>包括运动、言语、认知能力、社会交流和社会互动、行为等的发育；</w:t>
      </w:r>
    </w:p>
    <w:p w14:paraId="5583A80C">
      <w:pPr>
        <w:pStyle w:val="18"/>
        <w:overflowPunct w:val="0"/>
        <w:autoSpaceDE w:val="0"/>
        <w:autoSpaceDN w:val="0"/>
        <w:adjustRightInd w:val="0"/>
        <w:snapToGrid w:val="0"/>
        <w:spacing w:line="570" w:lineRule="exact"/>
        <w:ind w:firstLine="0"/>
        <w:jc w:val="both"/>
        <w:rPr>
          <w:rFonts w:ascii="仿宋_GB2312" w:hAnsi="Times New Roman" w:eastAsia="仿宋_GB2312" w:cs="Times New Roman"/>
          <w:color w:val="auto"/>
          <w:sz w:val="32"/>
          <w:szCs w:val="32"/>
        </w:rPr>
      </w:pPr>
      <w:r>
        <w:rPr>
          <w:rFonts w:hint="eastAsia" w:ascii="仿宋_GB2312" w:hAnsi="Times New Roman" w:eastAsia="仿宋_GB2312" w:cs="Times New Roman"/>
          <w:color w:val="auto"/>
          <w:sz w:val="32"/>
          <w:szCs w:val="32"/>
        </w:rPr>
        <w:t xml:space="preserve">    2.</w:t>
      </w:r>
      <w:r>
        <w:rPr>
          <w:rFonts w:hint="eastAsia" w:ascii="仿宋_GB2312" w:hAnsi="仿宋_GB2312" w:eastAsia="仿宋_GB2312" w:cs="Times New Roman"/>
          <w:color w:val="auto"/>
          <w:sz w:val="32"/>
          <w:szCs w:val="32"/>
        </w:rPr>
        <w:t>精神检查（主要采用观察法）：孤独症核心症状：言语或非言语交流障碍；兴趣狭窄及重复刻板的行为；</w:t>
      </w:r>
    </w:p>
    <w:p w14:paraId="28CD3323">
      <w:pPr>
        <w:pStyle w:val="18"/>
        <w:overflowPunct w:val="0"/>
        <w:autoSpaceDE w:val="0"/>
        <w:autoSpaceDN w:val="0"/>
        <w:adjustRightInd w:val="0"/>
        <w:snapToGrid w:val="0"/>
        <w:spacing w:line="570" w:lineRule="exact"/>
        <w:ind w:firstLine="0"/>
        <w:jc w:val="both"/>
        <w:rPr>
          <w:rFonts w:ascii="仿宋_GB2312" w:hAnsi="Times New Roman" w:eastAsia="仿宋_GB2312" w:cs="Times New Roman"/>
          <w:color w:val="auto"/>
          <w:sz w:val="32"/>
          <w:szCs w:val="32"/>
        </w:rPr>
      </w:pPr>
      <w:r>
        <w:rPr>
          <w:rFonts w:hint="eastAsia" w:ascii="仿宋_GB2312" w:hAnsi="Times New Roman" w:eastAsia="仿宋_GB2312" w:cs="Times New Roman"/>
          <w:color w:val="auto"/>
          <w:sz w:val="32"/>
          <w:szCs w:val="32"/>
        </w:rPr>
        <w:t xml:space="preserve">    3.</w:t>
      </w:r>
      <w:r>
        <w:rPr>
          <w:rFonts w:hint="eastAsia" w:ascii="仿宋_GB2312" w:hAnsi="仿宋_GB2312" w:eastAsia="仿宋_GB2312" w:cs="Times New Roman"/>
          <w:color w:val="auto"/>
          <w:sz w:val="32"/>
          <w:szCs w:val="32"/>
        </w:rPr>
        <w:t>心理评估：孤独症行为量表</w:t>
      </w:r>
      <w:r>
        <w:rPr>
          <w:rFonts w:hint="eastAsia" w:ascii="仿宋_GB2312" w:hAnsi="Times New Roman" w:eastAsia="仿宋_GB2312" w:cs="Times New Roman"/>
          <w:color w:val="auto"/>
          <w:sz w:val="32"/>
          <w:szCs w:val="32"/>
        </w:rPr>
        <w:t>(ABC)</w:t>
      </w:r>
      <w:r>
        <w:rPr>
          <w:rFonts w:hint="eastAsia" w:ascii="仿宋_GB2312" w:hAnsi="仿宋_GB2312" w:eastAsia="仿宋_GB2312" w:cs="Times New Roman"/>
          <w:color w:val="auto"/>
          <w:sz w:val="32"/>
          <w:szCs w:val="32"/>
        </w:rPr>
        <w:t>、克氏行为量表、</w:t>
      </w:r>
      <w:r>
        <w:rPr>
          <w:rFonts w:hint="eastAsia" w:ascii="仿宋_GB2312" w:hAnsi="Times New Roman" w:eastAsia="仿宋_GB2312" w:cs="Times New Roman"/>
          <w:color w:val="auto"/>
          <w:sz w:val="32"/>
          <w:szCs w:val="32"/>
        </w:rPr>
        <w:t>CARS</w:t>
      </w:r>
      <w:r>
        <w:rPr>
          <w:rFonts w:hint="eastAsia" w:ascii="仿宋_GB2312" w:hAnsi="仿宋_GB2312" w:eastAsia="仿宋_GB2312" w:cs="Times New Roman"/>
          <w:color w:val="auto"/>
          <w:sz w:val="32"/>
          <w:szCs w:val="32"/>
        </w:rPr>
        <w:t>量表、</w:t>
      </w:r>
      <w:r>
        <w:rPr>
          <w:rFonts w:hint="eastAsia" w:ascii="仿宋_GB2312" w:hAnsi="Times New Roman" w:eastAsia="仿宋_GB2312" w:cs="Times New Roman"/>
          <w:color w:val="auto"/>
          <w:sz w:val="32"/>
          <w:szCs w:val="32"/>
        </w:rPr>
        <w:t>ADHD</w:t>
      </w:r>
      <w:r>
        <w:rPr>
          <w:rFonts w:hint="eastAsia" w:ascii="仿宋_GB2312" w:hAnsi="仿宋_GB2312" w:eastAsia="仿宋_GB2312" w:cs="Times New Roman"/>
          <w:color w:val="auto"/>
          <w:sz w:val="32"/>
          <w:szCs w:val="32"/>
        </w:rPr>
        <w:t>量表、发育商（</w:t>
      </w:r>
      <w:r>
        <w:rPr>
          <w:rFonts w:hint="eastAsia" w:ascii="仿宋_GB2312" w:hAnsi="Times New Roman" w:eastAsia="仿宋_GB2312" w:cs="Times New Roman"/>
          <w:color w:val="auto"/>
          <w:sz w:val="32"/>
          <w:szCs w:val="32"/>
        </w:rPr>
        <w:t>DQ</w:t>
      </w:r>
      <w:r>
        <w:rPr>
          <w:rFonts w:hint="eastAsia" w:ascii="仿宋_GB2312" w:hAnsi="仿宋_GB2312" w:eastAsia="仿宋_GB2312" w:cs="Times New Roman"/>
          <w:color w:val="auto"/>
          <w:sz w:val="32"/>
          <w:szCs w:val="32"/>
        </w:rPr>
        <w:t>）、智商（</w:t>
      </w:r>
      <w:r>
        <w:rPr>
          <w:rFonts w:hint="eastAsia" w:ascii="仿宋_GB2312" w:hAnsi="Times New Roman" w:eastAsia="仿宋_GB2312" w:cs="Times New Roman"/>
          <w:color w:val="auto"/>
          <w:sz w:val="32"/>
          <w:szCs w:val="32"/>
        </w:rPr>
        <w:t>IQ</w:t>
      </w:r>
      <w:r>
        <w:rPr>
          <w:rFonts w:hint="eastAsia" w:ascii="仿宋_GB2312" w:hAnsi="仿宋_GB2312" w:eastAsia="仿宋_GB2312" w:cs="Times New Roman"/>
          <w:color w:val="auto"/>
          <w:sz w:val="32"/>
          <w:szCs w:val="32"/>
        </w:rPr>
        <w:t>）等评估；</w:t>
      </w:r>
    </w:p>
    <w:p w14:paraId="1F6ADE66">
      <w:pPr>
        <w:pStyle w:val="18"/>
        <w:overflowPunct w:val="0"/>
        <w:autoSpaceDE w:val="0"/>
        <w:autoSpaceDN w:val="0"/>
        <w:adjustRightInd w:val="0"/>
        <w:snapToGrid w:val="0"/>
        <w:spacing w:line="570" w:lineRule="exact"/>
        <w:ind w:firstLine="0"/>
        <w:jc w:val="both"/>
        <w:rPr>
          <w:rFonts w:ascii="仿宋_GB2312" w:hAnsi="Times New Roman" w:eastAsia="仿宋_GB2312" w:cs="Times New Roman"/>
          <w:color w:val="auto"/>
          <w:sz w:val="32"/>
          <w:szCs w:val="32"/>
        </w:rPr>
      </w:pPr>
      <w:r>
        <w:rPr>
          <w:rFonts w:hint="eastAsia" w:ascii="仿宋_GB2312" w:hAnsi="Times New Roman" w:eastAsia="仿宋_GB2312" w:cs="Times New Roman"/>
          <w:color w:val="auto"/>
          <w:sz w:val="32"/>
          <w:szCs w:val="32"/>
        </w:rPr>
        <w:t xml:space="preserve">    4.</w:t>
      </w:r>
      <w:r>
        <w:rPr>
          <w:rFonts w:hint="eastAsia" w:ascii="仿宋_GB2312" w:hAnsi="仿宋_GB2312" w:eastAsia="仿宋_GB2312" w:cs="Times New Roman"/>
          <w:color w:val="auto"/>
          <w:sz w:val="32"/>
          <w:szCs w:val="32"/>
        </w:rPr>
        <w:t>辅助检查：（</w:t>
      </w:r>
      <w:r>
        <w:rPr>
          <w:rFonts w:hint="eastAsia" w:ascii="仿宋_GB2312" w:hAnsi="Times New Roman" w:eastAsia="仿宋_GB2312" w:cs="Times New Roman"/>
          <w:color w:val="auto"/>
          <w:sz w:val="32"/>
          <w:szCs w:val="32"/>
        </w:rPr>
        <w:t>1</w:t>
      </w:r>
      <w:r>
        <w:rPr>
          <w:rFonts w:hint="eastAsia" w:ascii="仿宋_GB2312" w:hAnsi="仿宋_GB2312" w:eastAsia="仿宋_GB2312" w:cs="Times New Roman"/>
          <w:color w:val="auto"/>
          <w:sz w:val="32"/>
          <w:szCs w:val="32"/>
        </w:rPr>
        <w:t>）头颅影像学检查</w:t>
      </w:r>
      <w:r>
        <w:rPr>
          <w:rFonts w:hint="eastAsia" w:ascii="仿宋_GB2312" w:hAnsi="Times New Roman" w:eastAsia="仿宋_GB2312" w:cs="Times New Roman"/>
          <w:color w:val="auto"/>
          <w:sz w:val="32"/>
          <w:szCs w:val="32"/>
        </w:rPr>
        <w:t xml:space="preserve"> (MRI</w:t>
      </w:r>
      <w:r>
        <w:rPr>
          <w:rFonts w:hint="eastAsia" w:ascii="仿宋_GB2312" w:hAnsi="仿宋_GB2312" w:eastAsia="仿宋_GB2312" w:cs="Times New Roman"/>
          <w:color w:val="auto"/>
          <w:sz w:val="32"/>
          <w:szCs w:val="32"/>
        </w:rPr>
        <w:t>、</w:t>
      </w:r>
      <w:r>
        <w:rPr>
          <w:rFonts w:hint="eastAsia" w:ascii="仿宋_GB2312" w:hAnsi="Times New Roman" w:eastAsia="仿宋_GB2312" w:cs="Times New Roman"/>
          <w:color w:val="auto"/>
          <w:sz w:val="32"/>
          <w:szCs w:val="32"/>
        </w:rPr>
        <w:t>CT</w:t>
      </w:r>
      <w:r>
        <w:rPr>
          <w:rFonts w:hint="eastAsia" w:ascii="仿宋_GB2312" w:hAnsi="仿宋_GB2312" w:eastAsia="仿宋_GB2312" w:cs="Times New Roman"/>
          <w:color w:val="auto"/>
          <w:sz w:val="32"/>
          <w:szCs w:val="32"/>
        </w:rPr>
        <w:t>和</w:t>
      </w:r>
      <w:r>
        <w:rPr>
          <w:rFonts w:hint="eastAsia" w:ascii="仿宋_GB2312" w:hAnsi="Times New Roman" w:eastAsia="仿宋_GB2312" w:cs="Times New Roman"/>
          <w:color w:val="auto"/>
          <w:sz w:val="32"/>
          <w:szCs w:val="32"/>
        </w:rPr>
        <w:t>B</w:t>
      </w:r>
      <w:r>
        <w:rPr>
          <w:rFonts w:hint="eastAsia" w:ascii="仿宋_GB2312" w:hAnsi="仿宋_GB2312" w:eastAsia="仿宋_GB2312" w:cs="Times New Roman"/>
          <w:color w:val="auto"/>
          <w:sz w:val="32"/>
          <w:szCs w:val="32"/>
        </w:rPr>
        <w:t>超</w:t>
      </w:r>
      <w:r>
        <w:rPr>
          <w:rFonts w:hint="eastAsia" w:ascii="仿宋_GB2312" w:hAnsi="Times New Roman" w:eastAsia="仿宋_GB2312" w:cs="Times New Roman"/>
          <w:color w:val="auto"/>
          <w:sz w:val="32"/>
          <w:szCs w:val="32"/>
        </w:rPr>
        <w:t>)</w:t>
      </w:r>
    </w:p>
    <w:p w14:paraId="493F3331">
      <w:pPr>
        <w:overflowPunct w:val="0"/>
        <w:autoSpaceDE w:val="0"/>
        <w:autoSpaceDN w:val="0"/>
        <w:adjustRightInd w:val="0"/>
        <w:snapToGrid w:val="0"/>
        <w:spacing w:line="570" w:lineRule="exact"/>
        <w:rPr>
          <w:rFonts w:ascii="仿宋_GB2312" w:hAnsi="Times New Roman" w:eastAsia="仿宋_GB2312"/>
          <w:sz w:val="32"/>
          <w:szCs w:val="32"/>
        </w:rPr>
      </w:pPr>
      <w:r>
        <w:rPr>
          <w:rFonts w:hint="eastAsia" w:ascii="仿宋_GB2312" w:hAnsi="仿宋_GB2312" w:eastAsia="仿宋_GB2312"/>
          <w:sz w:val="32"/>
          <w:szCs w:val="32"/>
        </w:rPr>
        <w:t>（</w:t>
      </w:r>
      <w:r>
        <w:rPr>
          <w:rFonts w:hint="eastAsia" w:ascii="仿宋_GB2312" w:hAnsi="Times New Roman" w:eastAsia="仿宋_GB2312"/>
          <w:sz w:val="32"/>
          <w:szCs w:val="32"/>
        </w:rPr>
        <w:t>2</w:t>
      </w:r>
      <w:r>
        <w:rPr>
          <w:rFonts w:hint="eastAsia" w:ascii="仿宋_GB2312" w:hAnsi="仿宋_GB2312" w:eastAsia="仿宋_GB2312"/>
          <w:sz w:val="32"/>
          <w:szCs w:val="32"/>
        </w:rPr>
        <w:t>）遗传代谢检查（</w:t>
      </w:r>
      <w:r>
        <w:rPr>
          <w:rFonts w:hint="eastAsia" w:ascii="仿宋_GB2312" w:hAnsi="Times New Roman" w:eastAsia="仿宋_GB2312"/>
          <w:sz w:val="32"/>
          <w:szCs w:val="32"/>
        </w:rPr>
        <w:t>3</w:t>
      </w:r>
      <w:r>
        <w:rPr>
          <w:rFonts w:hint="eastAsia" w:ascii="仿宋_GB2312" w:hAnsi="仿宋_GB2312" w:eastAsia="仿宋_GB2312"/>
          <w:sz w:val="32"/>
          <w:szCs w:val="32"/>
        </w:rPr>
        <w:t>）脑电图（</w:t>
      </w:r>
      <w:r>
        <w:rPr>
          <w:rFonts w:hint="eastAsia" w:ascii="仿宋_GB2312" w:hAnsi="Times New Roman" w:eastAsia="仿宋_GB2312"/>
          <w:sz w:val="32"/>
          <w:szCs w:val="32"/>
        </w:rPr>
        <w:t>EEG)</w:t>
      </w:r>
      <w:r>
        <w:rPr>
          <w:rFonts w:hint="eastAsia" w:ascii="仿宋_GB2312" w:hAnsi="仿宋_GB2312" w:eastAsia="仿宋_GB2312"/>
          <w:sz w:val="32"/>
          <w:szCs w:val="32"/>
        </w:rPr>
        <w:t>（</w:t>
      </w:r>
      <w:r>
        <w:rPr>
          <w:rFonts w:hint="eastAsia" w:ascii="仿宋_GB2312" w:hAnsi="Times New Roman" w:eastAsia="仿宋_GB2312"/>
          <w:sz w:val="32"/>
          <w:szCs w:val="32"/>
        </w:rPr>
        <w:t>4</w:t>
      </w:r>
      <w:r>
        <w:rPr>
          <w:rFonts w:hint="eastAsia" w:ascii="仿宋_GB2312" w:hAnsi="仿宋_GB2312" w:eastAsia="仿宋_GB2312"/>
          <w:sz w:val="32"/>
          <w:szCs w:val="32"/>
        </w:rPr>
        <w:t>）其他相关检查：有智力发育、语言、营养、生长等障碍者进行智商</w:t>
      </w:r>
      <w:r>
        <w:rPr>
          <w:rFonts w:hint="eastAsia" w:ascii="仿宋_GB2312" w:hAnsi="Times New Roman" w:eastAsia="仿宋_GB2312"/>
          <w:sz w:val="32"/>
          <w:szCs w:val="32"/>
        </w:rPr>
        <w:t>/</w:t>
      </w:r>
      <w:r>
        <w:rPr>
          <w:rFonts w:hint="eastAsia" w:ascii="仿宋_GB2312" w:hAnsi="仿宋_GB2312" w:eastAsia="仿宋_GB2312"/>
          <w:sz w:val="32"/>
          <w:szCs w:val="32"/>
        </w:rPr>
        <w:t>发育商及其他相关检查。</w:t>
      </w:r>
    </w:p>
    <w:p w14:paraId="58BDD97F">
      <w:pPr>
        <w:overflowPunct w:val="0"/>
        <w:autoSpaceDE w:val="0"/>
        <w:autoSpaceDN w:val="0"/>
        <w:adjustRightInd w:val="0"/>
        <w:snapToGrid w:val="0"/>
        <w:spacing w:line="570" w:lineRule="exact"/>
        <w:ind w:firstLine="640"/>
        <w:rPr>
          <w:rFonts w:ascii="楷体_GB2312" w:hAnsi="Times New Roman" w:eastAsia="楷体_GB2312"/>
          <w:bCs/>
          <w:sz w:val="32"/>
          <w:szCs w:val="32"/>
        </w:rPr>
      </w:pPr>
      <w:r>
        <w:rPr>
          <w:rFonts w:hint="eastAsia" w:ascii="楷体_GB2312" w:hAnsi="Times New Roman" w:eastAsia="楷体_GB2312"/>
          <w:bCs/>
          <w:sz w:val="32"/>
          <w:szCs w:val="32"/>
        </w:rPr>
        <w:t>（三）门诊诊疗范围</w:t>
      </w:r>
    </w:p>
    <w:p w14:paraId="1DF7C7CA">
      <w:pPr>
        <w:overflowPunct w:val="0"/>
        <w:autoSpaceDE w:val="0"/>
        <w:autoSpaceDN w:val="0"/>
        <w:adjustRightInd w:val="0"/>
        <w:snapToGrid w:val="0"/>
        <w:spacing w:line="570" w:lineRule="exact"/>
        <w:rPr>
          <w:rFonts w:ascii="仿宋_GB2312" w:hAnsi="Times New Roman" w:eastAsia="仿宋_GB2312"/>
          <w:sz w:val="32"/>
          <w:szCs w:val="32"/>
        </w:rPr>
      </w:pPr>
      <w:r>
        <w:rPr>
          <w:rFonts w:hint="eastAsia" w:ascii="仿宋_GB2312" w:hAnsi="Times New Roman" w:eastAsia="仿宋_GB2312"/>
          <w:sz w:val="32"/>
          <w:szCs w:val="32"/>
        </w:rPr>
        <w:t xml:space="preserve">    </w:t>
      </w:r>
      <w:r>
        <w:rPr>
          <w:rFonts w:hint="eastAsia" w:ascii="仿宋_GB2312" w:hAnsi="仿宋_GB2312" w:eastAsia="仿宋_GB2312"/>
          <w:sz w:val="32"/>
          <w:szCs w:val="32"/>
        </w:rPr>
        <w:t>因孤独症及共患病引起的社会交流和社会互动障碍、兴趣狭窄及重复刻板的行为、言语和非言语的交流障碍，认知、</w:t>
      </w:r>
    </w:p>
    <w:p w14:paraId="6282B6BB">
      <w:pPr>
        <w:overflowPunct w:val="0"/>
        <w:autoSpaceDE w:val="0"/>
        <w:autoSpaceDN w:val="0"/>
        <w:adjustRightInd w:val="0"/>
        <w:snapToGrid w:val="0"/>
        <w:spacing w:line="570" w:lineRule="exact"/>
        <w:rPr>
          <w:rFonts w:ascii="仿宋_GB2312" w:hAnsi="Times New Roman" w:eastAsia="仿宋_GB2312"/>
          <w:bCs/>
          <w:sz w:val="32"/>
          <w:szCs w:val="32"/>
        </w:rPr>
      </w:pPr>
      <w:r>
        <w:rPr>
          <w:rFonts w:hint="eastAsia" w:ascii="仿宋_GB2312" w:hAnsi="仿宋_GB2312" w:eastAsia="仿宋_GB2312"/>
          <w:sz w:val="32"/>
          <w:szCs w:val="32"/>
        </w:rPr>
        <w:t>大运动、精细动作、生活自理等领域的功能康复。</w:t>
      </w:r>
      <w:r>
        <w:rPr>
          <w:rFonts w:hint="eastAsia" w:ascii="仿宋_GB2312" w:hAnsi="Times New Roman" w:eastAsia="仿宋_GB2312"/>
          <w:sz w:val="32"/>
          <w:szCs w:val="32"/>
        </w:rPr>
        <w:t>1.</w:t>
      </w:r>
      <w:r>
        <w:rPr>
          <w:rFonts w:hint="eastAsia" w:ascii="仿宋_GB2312" w:hAnsi="仿宋_GB2312" w:eastAsia="仿宋_GB2312"/>
          <w:sz w:val="32"/>
          <w:szCs w:val="32"/>
        </w:rPr>
        <w:t>言语、认知训练；</w:t>
      </w:r>
      <w:r>
        <w:rPr>
          <w:rFonts w:hint="eastAsia" w:ascii="仿宋_GB2312" w:hAnsi="Times New Roman" w:eastAsia="仿宋_GB2312"/>
          <w:sz w:val="32"/>
          <w:szCs w:val="32"/>
        </w:rPr>
        <w:t>2.</w:t>
      </w:r>
      <w:r>
        <w:rPr>
          <w:rFonts w:hint="eastAsia" w:ascii="仿宋_GB2312" w:hAnsi="仿宋_GB2312" w:eastAsia="仿宋_GB2312"/>
          <w:sz w:val="32"/>
          <w:szCs w:val="32"/>
        </w:rPr>
        <w:t>行为矫治；</w:t>
      </w:r>
      <w:r>
        <w:rPr>
          <w:rFonts w:hint="eastAsia" w:ascii="仿宋_GB2312" w:hAnsi="Times New Roman" w:eastAsia="仿宋_GB2312"/>
          <w:sz w:val="32"/>
          <w:szCs w:val="32"/>
        </w:rPr>
        <w:t>3.</w:t>
      </w:r>
      <w:r>
        <w:rPr>
          <w:rFonts w:hint="eastAsia" w:ascii="仿宋_GB2312" w:hAnsi="仿宋_GB2312" w:eastAsia="仿宋_GB2312"/>
          <w:sz w:val="32"/>
          <w:szCs w:val="32"/>
        </w:rPr>
        <w:t>情绪管理；</w:t>
      </w:r>
      <w:r>
        <w:rPr>
          <w:rFonts w:hint="eastAsia" w:ascii="仿宋_GB2312" w:hAnsi="Times New Roman" w:eastAsia="仿宋_GB2312"/>
          <w:sz w:val="32"/>
          <w:szCs w:val="32"/>
        </w:rPr>
        <w:t>4.</w:t>
      </w:r>
      <w:r>
        <w:rPr>
          <w:rFonts w:hint="eastAsia" w:ascii="仿宋_GB2312" w:hAnsi="仿宋_GB2312" w:eastAsia="仿宋_GB2312"/>
          <w:sz w:val="32"/>
          <w:szCs w:val="32"/>
        </w:rPr>
        <w:t>运动疗法；</w:t>
      </w:r>
      <w:r>
        <w:rPr>
          <w:rFonts w:hint="eastAsia" w:ascii="仿宋_GB2312" w:hAnsi="Times New Roman" w:eastAsia="仿宋_GB2312"/>
          <w:sz w:val="32"/>
          <w:szCs w:val="32"/>
        </w:rPr>
        <w:t>5.</w:t>
      </w:r>
      <w:r>
        <w:rPr>
          <w:rFonts w:hint="eastAsia" w:ascii="仿宋_GB2312" w:hAnsi="仿宋_GB2312" w:eastAsia="仿宋_GB2312"/>
          <w:sz w:val="32"/>
          <w:szCs w:val="32"/>
        </w:rPr>
        <w:t>作业治疗；</w:t>
      </w:r>
      <w:r>
        <w:rPr>
          <w:rFonts w:hint="eastAsia" w:ascii="仿宋_GB2312" w:hAnsi="Times New Roman" w:eastAsia="仿宋_GB2312"/>
          <w:sz w:val="32"/>
          <w:szCs w:val="32"/>
        </w:rPr>
        <w:t>6.</w:t>
      </w:r>
      <w:r>
        <w:rPr>
          <w:rFonts w:hint="eastAsia" w:ascii="仿宋_GB2312" w:hAnsi="仿宋_GB2312" w:eastAsia="仿宋_GB2312"/>
          <w:sz w:val="32"/>
          <w:szCs w:val="32"/>
        </w:rPr>
        <w:t>物理因子疗法；</w:t>
      </w:r>
      <w:r>
        <w:rPr>
          <w:rFonts w:hint="eastAsia" w:ascii="仿宋_GB2312" w:hAnsi="Times New Roman" w:eastAsia="仿宋_GB2312"/>
          <w:sz w:val="32"/>
          <w:szCs w:val="32"/>
        </w:rPr>
        <w:t>7.</w:t>
      </w:r>
      <w:r>
        <w:rPr>
          <w:rFonts w:hint="eastAsia" w:ascii="仿宋_GB2312" w:hAnsi="仿宋_GB2312" w:eastAsia="仿宋_GB2312"/>
          <w:sz w:val="32"/>
          <w:szCs w:val="32"/>
        </w:rPr>
        <w:t>生活自理能力训练；</w:t>
      </w:r>
      <w:r>
        <w:rPr>
          <w:rFonts w:hint="eastAsia" w:ascii="仿宋_GB2312" w:hAnsi="Times New Roman" w:eastAsia="仿宋_GB2312"/>
          <w:sz w:val="32"/>
          <w:szCs w:val="32"/>
        </w:rPr>
        <w:t>8.</w:t>
      </w:r>
      <w:r>
        <w:rPr>
          <w:rFonts w:hint="eastAsia" w:ascii="仿宋_GB2312" w:hAnsi="仿宋_GB2312" w:eastAsia="仿宋_GB2312"/>
          <w:sz w:val="32"/>
          <w:szCs w:val="32"/>
        </w:rPr>
        <w:t>社交、适应能力训练等。</w:t>
      </w:r>
    </w:p>
    <w:p w14:paraId="4F686285">
      <w:pPr>
        <w:overflowPunct w:val="0"/>
        <w:autoSpaceDE w:val="0"/>
        <w:autoSpaceDN w:val="0"/>
        <w:adjustRightInd w:val="0"/>
        <w:snapToGrid w:val="0"/>
        <w:spacing w:line="570" w:lineRule="exact"/>
        <w:rPr>
          <w:rFonts w:ascii="楷体_GB2312" w:hAnsi="Times New Roman" w:eastAsia="楷体_GB2312"/>
          <w:bCs/>
          <w:sz w:val="32"/>
          <w:szCs w:val="32"/>
        </w:rPr>
      </w:pPr>
      <w:r>
        <w:rPr>
          <w:rFonts w:hint="eastAsia" w:ascii="仿宋_GB2312" w:hAnsi="Times New Roman" w:eastAsia="仿宋_GB2312"/>
          <w:bCs/>
          <w:sz w:val="32"/>
          <w:szCs w:val="32"/>
        </w:rPr>
        <w:t xml:space="preserve">   </w:t>
      </w:r>
      <w:r>
        <w:rPr>
          <w:rFonts w:hint="eastAsia" w:ascii="楷体_GB2312" w:hAnsi="Times New Roman" w:eastAsia="楷体_GB2312"/>
          <w:bCs/>
          <w:sz w:val="32"/>
          <w:szCs w:val="32"/>
        </w:rPr>
        <w:t xml:space="preserve"> （四）复审期限</w:t>
      </w:r>
    </w:p>
    <w:p w14:paraId="431331AB">
      <w:pPr>
        <w:overflowPunct w:val="0"/>
        <w:autoSpaceDE w:val="0"/>
        <w:autoSpaceDN w:val="0"/>
        <w:adjustRightInd w:val="0"/>
        <w:snapToGrid w:val="0"/>
        <w:spacing w:line="570" w:lineRule="exact"/>
        <w:ind w:firstLine="640"/>
        <w:rPr>
          <w:rFonts w:ascii="仿宋_GB2312" w:hAnsi="Times New Roman" w:eastAsia="仿宋_GB2312"/>
          <w:bCs/>
          <w:sz w:val="32"/>
          <w:szCs w:val="32"/>
        </w:rPr>
      </w:pPr>
      <w:r>
        <w:rPr>
          <w:rFonts w:hint="eastAsia" w:ascii="仿宋_GB2312" w:hAnsi="仿宋_GB2312" w:eastAsia="仿宋_GB2312"/>
          <w:bCs/>
          <w:sz w:val="32"/>
          <w:szCs w:val="32"/>
        </w:rPr>
        <w:t>每</w:t>
      </w:r>
      <w:r>
        <w:rPr>
          <w:rFonts w:hint="eastAsia" w:ascii="仿宋_GB2312" w:hAnsi="Times New Roman" w:eastAsia="仿宋_GB2312"/>
          <w:bCs/>
          <w:sz w:val="32"/>
          <w:szCs w:val="32"/>
        </w:rPr>
        <w:t>5</w:t>
      </w:r>
      <w:r>
        <w:rPr>
          <w:rFonts w:hint="eastAsia" w:ascii="仿宋_GB2312" w:hAnsi="仿宋_GB2312" w:eastAsia="仿宋_GB2312"/>
          <w:bCs/>
          <w:sz w:val="32"/>
          <w:szCs w:val="32"/>
        </w:rPr>
        <w:t>年复审一次。</w:t>
      </w:r>
    </w:p>
    <w:p w14:paraId="7E0C57E4">
      <w:pPr>
        <w:overflowPunct w:val="0"/>
        <w:autoSpaceDE w:val="0"/>
        <w:autoSpaceDN w:val="0"/>
        <w:adjustRightInd w:val="0"/>
        <w:snapToGrid w:val="0"/>
        <w:spacing w:line="570" w:lineRule="exact"/>
        <w:rPr>
          <w:rFonts w:ascii="黑体" w:hAnsi="黑体" w:eastAsia="黑体"/>
          <w:sz w:val="32"/>
          <w:szCs w:val="32"/>
        </w:rPr>
      </w:pPr>
      <w:r>
        <w:rPr>
          <w:rFonts w:hint="eastAsia" w:ascii="仿宋_GB2312" w:hAnsi="Times New Roman" w:eastAsia="仿宋_GB2312"/>
          <w:sz w:val="32"/>
          <w:szCs w:val="32"/>
        </w:rPr>
        <w:t xml:space="preserve">   </w:t>
      </w:r>
      <w:r>
        <w:rPr>
          <w:rFonts w:hint="eastAsia" w:ascii="黑体" w:hAnsi="黑体" w:eastAsia="黑体"/>
          <w:sz w:val="32"/>
          <w:szCs w:val="32"/>
        </w:rPr>
        <w:t xml:space="preserve"> 十九、肺源性心脏病</w:t>
      </w:r>
    </w:p>
    <w:p w14:paraId="06C6007F">
      <w:pPr>
        <w:overflowPunct w:val="0"/>
        <w:autoSpaceDE w:val="0"/>
        <w:autoSpaceDN w:val="0"/>
        <w:adjustRightInd w:val="0"/>
        <w:snapToGrid w:val="0"/>
        <w:spacing w:line="570" w:lineRule="exact"/>
        <w:ind w:firstLine="630" w:firstLineChars="197"/>
        <w:rPr>
          <w:rFonts w:ascii="楷体_GB2312" w:hAnsi="Times New Roman" w:eastAsia="楷体_GB2312"/>
          <w:bCs/>
          <w:sz w:val="32"/>
          <w:szCs w:val="32"/>
        </w:rPr>
      </w:pPr>
      <w:r>
        <w:rPr>
          <w:rFonts w:hint="eastAsia" w:ascii="楷体_GB2312" w:hAnsi="Times New Roman" w:eastAsia="楷体_GB2312"/>
          <w:bCs/>
          <w:sz w:val="32"/>
          <w:szCs w:val="32"/>
        </w:rPr>
        <w:t>（一）申报资料</w:t>
      </w:r>
    </w:p>
    <w:p w14:paraId="58C07B44">
      <w:pPr>
        <w:overflowPunct w:val="0"/>
        <w:autoSpaceDE w:val="0"/>
        <w:autoSpaceDN w:val="0"/>
        <w:adjustRightInd w:val="0"/>
        <w:snapToGrid w:val="0"/>
        <w:spacing w:line="570" w:lineRule="exact"/>
        <w:ind w:firstLine="320" w:firstLineChars="100"/>
        <w:rPr>
          <w:rFonts w:ascii="仿宋_GB2312" w:hAnsi="Times New Roman" w:eastAsia="仿宋_GB2312"/>
          <w:kern w:val="0"/>
          <w:sz w:val="32"/>
          <w:szCs w:val="32"/>
        </w:rPr>
      </w:pPr>
      <w:r>
        <w:rPr>
          <w:rFonts w:hint="eastAsia" w:ascii="仿宋_GB2312" w:hAnsi="Times New Roman" w:eastAsia="仿宋_GB2312"/>
          <w:kern w:val="0"/>
          <w:sz w:val="32"/>
          <w:szCs w:val="32"/>
        </w:rPr>
        <w:t xml:space="preserve">   </w:t>
      </w:r>
      <w:r>
        <w:rPr>
          <w:rFonts w:hint="eastAsia" w:ascii="仿宋_GB2312" w:hAnsi="仿宋_GB2312" w:eastAsia="仿宋_GB2312"/>
          <w:kern w:val="0"/>
          <w:sz w:val="32"/>
          <w:szCs w:val="32"/>
        </w:rPr>
        <w:t>提供二级及以上医保定点医疗机构近二年住院、门诊病历及相关检查资料，并加盖医保定点医疗机构公章的诊断证明及呼吸专业主治以上医师（含主治医师）制定并签名的治疗计划。</w:t>
      </w:r>
    </w:p>
    <w:p w14:paraId="53CD1587">
      <w:pPr>
        <w:overflowPunct w:val="0"/>
        <w:autoSpaceDE w:val="0"/>
        <w:autoSpaceDN w:val="0"/>
        <w:adjustRightInd w:val="0"/>
        <w:snapToGrid w:val="0"/>
        <w:spacing w:line="570" w:lineRule="exact"/>
        <w:ind w:firstLine="630" w:firstLineChars="197"/>
        <w:rPr>
          <w:rFonts w:ascii="楷体_GB2312" w:hAnsi="Times New Roman" w:eastAsia="楷体_GB2312"/>
          <w:b/>
          <w:bCs/>
          <w:sz w:val="32"/>
          <w:szCs w:val="32"/>
        </w:rPr>
      </w:pPr>
      <w:r>
        <w:rPr>
          <w:rFonts w:hint="eastAsia" w:ascii="楷体_GB2312" w:hAnsi="Times New Roman" w:eastAsia="楷体_GB2312"/>
          <w:bCs/>
          <w:sz w:val="32"/>
          <w:szCs w:val="32"/>
        </w:rPr>
        <w:t>（二）治疗指征（认定标准）</w:t>
      </w:r>
    </w:p>
    <w:p w14:paraId="4235A013">
      <w:pPr>
        <w:overflowPunct w:val="0"/>
        <w:autoSpaceDE w:val="0"/>
        <w:autoSpaceDN w:val="0"/>
        <w:adjustRightInd w:val="0"/>
        <w:snapToGrid w:val="0"/>
        <w:spacing w:line="570" w:lineRule="exact"/>
        <w:ind w:firstLine="640"/>
        <w:rPr>
          <w:rFonts w:ascii="仿宋_GB2312" w:hAnsi="Times New Roman" w:eastAsia="仿宋_GB2312"/>
          <w:kern w:val="0"/>
          <w:sz w:val="32"/>
          <w:szCs w:val="32"/>
        </w:rPr>
      </w:pPr>
      <w:r>
        <w:rPr>
          <w:rFonts w:hint="eastAsia" w:ascii="仿宋_GB2312" w:hAnsi="Times New Roman" w:eastAsia="仿宋_GB2312"/>
          <w:kern w:val="0"/>
          <w:sz w:val="32"/>
          <w:szCs w:val="32"/>
        </w:rPr>
        <w:t>1.</w:t>
      </w:r>
      <w:r>
        <w:rPr>
          <w:rFonts w:hint="eastAsia" w:ascii="仿宋_GB2312" w:hAnsi="仿宋_GB2312" w:eastAsia="仿宋_GB2312"/>
          <w:kern w:val="0"/>
          <w:sz w:val="32"/>
          <w:szCs w:val="32"/>
        </w:rPr>
        <w:t>有慢性阻塞性肺疾病、其他支气管、肺部疾患，胸廓疾病和肺血管疾病的病史；</w:t>
      </w:r>
    </w:p>
    <w:p w14:paraId="540D2C2A">
      <w:pPr>
        <w:overflowPunct w:val="0"/>
        <w:autoSpaceDE w:val="0"/>
        <w:autoSpaceDN w:val="0"/>
        <w:adjustRightInd w:val="0"/>
        <w:snapToGrid w:val="0"/>
        <w:spacing w:line="570" w:lineRule="exact"/>
        <w:ind w:firstLine="640"/>
        <w:rPr>
          <w:rFonts w:ascii="仿宋_GB2312" w:hAnsi="Times New Roman" w:eastAsia="仿宋_GB2312"/>
          <w:kern w:val="0"/>
          <w:sz w:val="32"/>
          <w:szCs w:val="32"/>
        </w:rPr>
      </w:pPr>
      <w:r>
        <w:rPr>
          <w:rFonts w:hint="eastAsia" w:ascii="仿宋_GB2312" w:hAnsi="Times New Roman" w:eastAsia="仿宋_GB2312"/>
          <w:kern w:val="0"/>
          <w:sz w:val="32"/>
          <w:szCs w:val="32"/>
        </w:rPr>
        <w:t>2.</w:t>
      </w:r>
      <w:r>
        <w:rPr>
          <w:rFonts w:hint="eastAsia" w:ascii="仿宋_GB2312" w:hAnsi="仿宋_GB2312" w:eastAsia="仿宋_GB2312"/>
          <w:kern w:val="0"/>
          <w:sz w:val="32"/>
          <w:szCs w:val="32"/>
        </w:rPr>
        <w:t>有心肺功能不全的临床表现；</w:t>
      </w:r>
    </w:p>
    <w:p w14:paraId="0018D7D4">
      <w:pPr>
        <w:overflowPunct w:val="0"/>
        <w:autoSpaceDE w:val="0"/>
        <w:autoSpaceDN w:val="0"/>
        <w:adjustRightInd w:val="0"/>
        <w:snapToGrid w:val="0"/>
        <w:spacing w:line="570" w:lineRule="exact"/>
        <w:ind w:firstLine="640"/>
        <w:rPr>
          <w:rFonts w:ascii="仿宋_GB2312" w:hAnsi="Times New Roman" w:eastAsia="仿宋_GB2312"/>
          <w:kern w:val="0"/>
          <w:sz w:val="32"/>
          <w:szCs w:val="32"/>
        </w:rPr>
      </w:pPr>
      <w:r>
        <w:rPr>
          <w:rFonts w:hint="eastAsia" w:ascii="仿宋_GB2312" w:hAnsi="Times New Roman" w:eastAsia="仿宋_GB2312"/>
          <w:kern w:val="0"/>
          <w:sz w:val="32"/>
          <w:szCs w:val="32"/>
        </w:rPr>
        <w:t>3.</w:t>
      </w:r>
      <w:r>
        <w:rPr>
          <w:rFonts w:hint="eastAsia" w:ascii="仿宋_GB2312" w:hAnsi="仿宋_GB2312" w:eastAsia="仿宋_GB2312"/>
          <w:kern w:val="0"/>
          <w:sz w:val="32"/>
          <w:szCs w:val="32"/>
        </w:rPr>
        <w:t>胸部影像学资料（胸片或</w:t>
      </w:r>
      <w:r>
        <w:rPr>
          <w:rFonts w:hint="eastAsia" w:ascii="仿宋_GB2312" w:hAnsi="Times New Roman" w:eastAsia="仿宋_GB2312"/>
          <w:kern w:val="0"/>
          <w:sz w:val="32"/>
          <w:szCs w:val="32"/>
        </w:rPr>
        <w:t>CT</w:t>
      </w:r>
      <w:r>
        <w:rPr>
          <w:rFonts w:hint="eastAsia" w:ascii="仿宋_GB2312" w:hAnsi="仿宋_GB2312" w:eastAsia="仿宋_GB2312"/>
          <w:kern w:val="0"/>
          <w:sz w:val="32"/>
          <w:szCs w:val="32"/>
        </w:rPr>
        <w:t>）、心电图、必须有超声心动图检查提示肺动脉高压、右心增大。</w:t>
      </w:r>
    </w:p>
    <w:p w14:paraId="7D88A17D">
      <w:pPr>
        <w:overflowPunct w:val="0"/>
        <w:autoSpaceDE w:val="0"/>
        <w:autoSpaceDN w:val="0"/>
        <w:adjustRightInd w:val="0"/>
        <w:snapToGrid w:val="0"/>
        <w:spacing w:line="570" w:lineRule="exact"/>
        <w:ind w:firstLine="630" w:firstLineChars="197"/>
        <w:rPr>
          <w:rFonts w:ascii="楷体_GB2312" w:hAnsi="Times New Roman" w:eastAsia="楷体_GB2312"/>
          <w:bCs/>
          <w:sz w:val="32"/>
          <w:szCs w:val="32"/>
        </w:rPr>
      </w:pPr>
      <w:r>
        <w:rPr>
          <w:rFonts w:hint="eastAsia" w:ascii="楷体_GB2312" w:hAnsi="Times New Roman" w:eastAsia="楷体_GB2312"/>
          <w:bCs/>
          <w:sz w:val="32"/>
          <w:szCs w:val="32"/>
        </w:rPr>
        <w:t>（三）门诊诊疗范围</w:t>
      </w:r>
    </w:p>
    <w:p w14:paraId="0971F7FA">
      <w:pPr>
        <w:overflowPunct w:val="0"/>
        <w:autoSpaceDE w:val="0"/>
        <w:autoSpaceDN w:val="0"/>
        <w:adjustRightInd w:val="0"/>
        <w:snapToGrid w:val="0"/>
        <w:spacing w:line="570" w:lineRule="exact"/>
        <w:rPr>
          <w:rFonts w:ascii="仿宋_GB2312" w:hAnsi="Times New Roman" w:eastAsia="仿宋_GB2312"/>
          <w:kern w:val="0"/>
          <w:sz w:val="32"/>
          <w:szCs w:val="32"/>
        </w:rPr>
      </w:pPr>
      <w:r>
        <w:rPr>
          <w:rFonts w:hint="eastAsia" w:ascii="仿宋_GB2312" w:hAnsi="Times New Roman" w:eastAsia="仿宋_GB2312"/>
          <w:kern w:val="0"/>
          <w:sz w:val="32"/>
          <w:szCs w:val="32"/>
        </w:rPr>
        <w:t xml:space="preserve">    1</w:t>
      </w:r>
      <w:r>
        <w:rPr>
          <w:rFonts w:hint="eastAsia" w:ascii="仿宋_GB2312" w:hAnsi="仿宋_GB2312" w:eastAsia="仿宋_GB2312"/>
          <w:kern w:val="0"/>
          <w:sz w:val="32"/>
          <w:szCs w:val="32"/>
        </w:rPr>
        <w:t>.检查：血细胞分析；肝肾功能、肺功能、血糖、血脂、血电解质测定；心电图；血气分析；胸部</w:t>
      </w:r>
      <w:r>
        <w:rPr>
          <w:rFonts w:hint="eastAsia" w:ascii="仿宋_GB2312" w:hAnsi="Times New Roman" w:eastAsia="仿宋_GB2312"/>
          <w:kern w:val="0"/>
          <w:sz w:val="32"/>
          <w:szCs w:val="32"/>
        </w:rPr>
        <w:t>CT/</w:t>
      </w:r>
      <w:r>
        <w:rPr>
          <w:rFonts w:hint="eastAsia" w:ascii="仿宋_GB2312" w:hAnsi="仿宋_GB2312" w:eastAsia="仿宋_GB2312"/>
          <w:kern w:val="0"/>
          <w:sz w:val="32"/>
          <w:szCs w:val="32"/>
        </w:rPr>
        <w:t>胸部</w:t>
      </w:r>
      <w:r>
        <w:rPr>
          <w:rFonts w:hint="eastAsia" w:ascii="仿宋_GB2312" w:hAnsi="Times New Roman" w:eastAsia="仿宋_GB2312"/>
          <w:kern w:val="0"/>
          <w:sz w:val="32"/>
          <w:szCs w:val="32"/>
        </w:rPr>
        <w:t>X</w:t>
      </w:r>
      <w:r>
        <w:rPr>
          <w:rFonts w:hint="eastAsia" w:ascii="仿宋_GB2312" w:hAnsi="仿宋_GB2312" w:eastAsia="仿宋_GB2312"/>
          <w:kern w:val="0"/>
          <w:sz w:val="32"/>
          <w:szCs w:val="32"/>
        </w:rPr>
        <w:t>线；肺功能；心脏彩超；痰培养</w:t>
      </w:r>
      <w:r>
        <w:rPr>
          <w:rFonts w:hint="eastAsia" w:ascii="仿宋_GB2312" w:hAnsi="Times New Roman" w:eastAsia="仿宋_GB2312"/>
          <w:kern w:val="0"/>
          <w:sz w:val="32"/>
          <w:szCs w:val="32"/>
        </w:rPr>
        <w:t>+</w:t>
      </w:r>
      <w:r>
        <w:rPr>
          <w:rFonts w:hint="eastAsia" w:ascii="仿宋_GB2312" w:hAnsi="仿宋_GB2312" w:eastAsia="仿宋_GB2312"/>
          <w:kern w:val="0"/>
          <w:sz w:val="32"/>
          <w:szCs w:val="32"/>
        </w:rPr>
        <w:t>药敏；</w:t>
      </w:r>
      <w:r>
        <w:rPr>
          <w:rFonts w:hint="eastAsia" w:ascii="仿宋_GB2312" w:hAnsi="Times New Roman" w:eastAsia="仿宋_GB2312"/>
          <w:kern w:val="0"/>
          <w:sz w:val="32"/>
          <w:szCs w:val="32"/>
        </w:rPr>
        <w:t>BNP</w:t>
      </w:r>
      <w:r>
        <w:rPr>
          <w:rFonts w:hint="eastAsia" w:ascii="仿宋_GB2312" w:hAnsi="仿宋_GB2312" w:eastAsia="仿宋_GB2312"/>
          <w:kern w:val="0"/>
          <w:sz w:val="32"/>
          <w:szCs w:val="32"/>
        </w:rPr>
        <w:t>或</w:t>
      </w:r>
      <w:r>
        <w:rPr>
          <w:rFonts w:hint="eastAsia" w:ascii="仿宋_GB2312" w:hAnsi="Times New Roman" w:eastAsia="仿宋_GB2312"/>
          <w:kern w:val="0"/>
          <w:sz w:val="32"/>
          <w:szCs w:val="32"/>
        </w:rPr>
        <w:t>NT-proBNP</w:t>
      </w:r>
      <w:r>
        <w:rPr>
          <w:rFonts w:hint="eastAsia" w:ascii="仿宋_GB2312" w:hAnsi="仿宋_GB2312" w:eastAsia="仿宋_GB2312"/>
          <w:kern w:val="0"/>
          <w:sz w:val="32"/>
          <w:szCs w:val="32"/>
        </w:rPr>
        <w:t>；呼出气一氧化氮测定；血氧饱和度监测；下肢静脉血管超声。</w:t>
      </w:r>
    </w:p>
    <w:p w14:paraId="72B191CF">
      <w:pPr>
        <w:overflowPunct w:val="0"/>
        <w:autoSpaceDE w:val="0"/>
        <w:autoSpaceDN w:val="0"/>
        <w:adjustRightInd w:val="0"/>
        <w:snapToGrid w:val="0"/>
        <w:spacing w:line="570" w:lineRule="exact"/>
        <w:ind w:firstLine="640"/>
        <w:rPr>
          <w:rFonts w:ascii="仿宋_GB2312" w:hAnsi="Times New Roman" w:eastAsia="仿宋_GB2312"/>
          <w:kern w:val="0"/>
          <w:sz w:val="32"/>
          <w:szCs w:val="32"/>
        </w:rPr>
      </w:pPr>
      <w:r>
        <w:rPr>
          <w:rFonts w:hint="eastAsia" w:ascii="仿宋_GB2312" w:hAnsi="Times New Roman" w:eastAsia="仿宋_GB2312"/>
          <w:kern w:val="0"/>
          <w:sz w:val="32"/>
          <w:szCs w:val="32"/>
        </w:rPr>
        <w:t>2</w:t>
      </w:r>
      <w:r>
        <w:rPr>
          <w:rFonts w:hint="eastAsia" w:ascii="仿宋_GB2312" w:hAnsi="仿宋_GB2312" w:eastAsia="仿宋_GB2312"/>
          <w:kern w:val="0"/>
          <w:sz w:val="32"/>
          <w:szCs w:val="32"/>
        </w:rPr>
        <w:t>.治疗：用于慢性气道疾病的治疗药物；针对心衰药物同慢性心力衰竭治疗药物；基本的抗感染药物（细菌、真菌、病毒）。</w:t>
      </w:r>
    </w:p>
    <w:p w14:paraId="3C85F0A1">
      <w:pPr>
        <w:overflowPunct w:val="0"/>
        <w:autoSpaceDE w:val="0"/>
        <w:autoSpaceDN w:val="0"/>
        <w:adjustRightInd w:val="0"/>
        <w:snapToGrid w:val="0"/>
        <w:spacing w:line="570" w:lineRule="exact"/>
        <w:ind w:firstLine="630" w:firstLineChars="197"/>
        <w:rPr>
          <w:rFonts w:ascii="楷体_GB2312" w:hAnsi="Times New Roman" w:eastAsia="楷体_GB2312"/>
          <w:bCs/>
          <w:sz w:val="32"/>
          <w:szCs w:val="32"/>
        </w:rPr>
      </w:pPr>
      <w:r>
        <w:rPr>
          <w:rFonts w:hint="eastAsia" w:ascii="楷体_GB2312" w:hAnsi="Times New Roman" w:eastAsia="楷体_GB2312"/>
          <w:bCs/>
          <w:sz w:val="32"/>
          <w:szCs w:val="32"/>
        </w:rPr>
        <w:t>（四）复审期限</w:t>
      </w:r>
    </w:p>
    <w:p w14:paraId="60DB51BF">
      <w:pPr>
        <w:overflowPunct w:val="0"/>
        <w:autoSpaceDE w:val="0"/>
        <w:autoSpaceDN w:val="0"/>
        <w:adjustRightInd w:val="0"/>
        <w:snapToGrid w:val="0"/>
        <w:spacing w:line="570" w:lineRule="exact"/>
        <w:ind w:firstLine="640"/>
        <w:rPr>
          <w:rFonts w:ascii="仿宋_GB2312" w:hAnsi="Times New Roman" w:eastAsia="仿宋_GB2312"/>
          <w:bCs/>
          <w:sz w:val="32"/>
          <w:szCs w:val="32"/>
        </w:rPr>
      </w:pPr>
      <w:r>
        <w:rPr>
          <w:rFonts w:hint="eastAsia" w:ascii="仿宋_GB2312" w:hAnsi="仿宋_GB2312" w:eastAsia="仿宋_GB2312"/>
          <w:bCs/>
          <w:sz w:val="32"/>
          <w:szCs w:val="32"/>
        </w:rPr>
        <w:t>每</w:t>
      </w:r>
      <w:r>
        <w:rPr>
          <w:rFonts w:hint="eastAsia" w:ascii="仿宋_GB2312" w:hAnsi="Times New Roman" w:eastAsia="仿宋_GB2312"/>
          <w:bCs/>
          <w:sz w:val="32"/>
          <w:szCs w:val="32"/>
        </w:rPr>
        <w:t>3</w:t>
      </w:r>
      <w:r>
        <w:rPr>
          <w:rFonts w:hint="eastAsia" w:ascii="仿宋_GB2312" w:hAnsi="仿宋_GB2312" w:eastAsia="仿宋_GB2312"/>
          <w:bCs/>
          <w:sz w:val="32"/>
          <w:szCs w:val="32"/>
        </w:rPr>
        <w:t>年复审一次。</w:t>
      </w:r>
    </w:p>
    <w:p w14:paraId="58D44A7B">
      <w:pPr>
        <w:pStyle w:val="12"/>
        <w:widowControl w:val="0"/>
        <w:overflowPunct w:val="0"/>
        <w:autoSpaceDE w:val="0"/>
        <w:autoSpaceDN w:val="0"/>
        <w:adjustRightInd w:val="0"/>
        <w:snapToGrid w:val="0"/>
        <w:spacing w:line="570" w:lineRule="exact"/>
        <w:ind w:firstLine="0"/>
        <w:jc w:val="both"/>
        <w:rPr>
          <w:rFonts w:ascii="黑体" w:hAnsi="黑体" w:eastAsia="黑体"/>
          <w:sz w:val="32"/>
          <w:szCs w:val="32"/>
        </w:rPr>
      </w:pPr>
      <w:r>
        <w:rPr>
          <w:rFonts w:hint="eastAsia" w:ascii="仿宋_GB2312" w:hAnsi="Times New Roman" w:eastAsia="仿宋_GB2312"/>
          <w:sz w:val="32"/>
          <w:szCs w:val="32"/>
        </w:rPr>
        <w:t xml:space="preserve">   </w:t>
      </w:r>
      <w:r>
        <w:rPr>
          <w:rFonts w:hint="eastAsia" w:ascii="黑体" w:hAnsi="黑体" w:eastAsia="黑体"/>
          <w:sz w:val="32"/>
          <w:szCs w:val="32"/>
        </w:rPr>
        <w:t xml:space="preserve"> 二十、慢性阻塞性肺疾病</w:t>
      </w:r>
    </w:p>
    <w:p w14:paraId="4DB7E1DE">
      <w:pPr>
        <w:overflowPunct w:val="0"/>
        <w:autoSpaceDE w:val="0"/>
        <w:autoSpaceDN w:val="0"/>
        <w:adjustRightInd w:val="0"/>
        <w:snapToGrid w:val="0"/>
        <w:spacing w:line="570" w:lineRule="exact"/>
        <w:ind w:firstLine="630" w:firstLineChars="197"/>
        <w:rPr>
          <w:rFonts w:ascii="楷体_GB2312" w:hAnsi="Times New Roman" w:eastAsia="楷体_GB2312"/>
          <w:bCs/>
          <w:sz w:val="32"/>
          <w:szCs w:val="32"/>
        </w:rPr>
      </w:pPr>
      <w:r>
        <w:rPr>
          <w:rFonts w:hint="eastAsia" w:ascii="楷体_GB2312" w:hAnsi="Times New Roman" w:eastAsia="楷体_GB2312"/>
          <w:bCs/>
          <w:sz w:val="32"/>
          <w:szCs w:val="32"/>
        </w:rPr>
        <w:t>（一）申报资料</w:t>
      </w:r>
    </w:p>
    <w:p w14:paraId="495B91C0">
      <w:pPr>
        <w:overflowPunct w:val="0"/>
        <w:autoSpaceDE w:val="0"/>
        <w:autoSpaceDN w:val="0"/>
        <w:adjustRightInd w:val="0"/>
        <w:snapToGrid w:val="0"/>
        <w:spacing w:line="570" w:lineRule="exact"/>
        <w:ind w:firstLine="320" w:firstLineChars="100"/>
        <w:rPr>
          <w:rFonts w:ascii="仿宋_GB2312" w:hAnsi="Times New Roman" w:eastAsia="仿宋_GB2312"/>
          <w:kern w:val="0"/>
          <w:sz w:val="32"/>
          <w:szCs w:val="32"/>
        </w:rPr>
      </w:pPr>
      <w:r>
        <w:rPr>
          <w:rFonts w:hint="eastAsia" w:ascii="仿宋_GB2312" w:hAnsi="Times New Roman" w:eastAsia="仿宋_GB2312"/>
          <w:kern w:val="0"/>
          <w:sz w:val="32"/>
          <w:szCs w:val="32"/>
        </w:rPr>
        <w:t xml:space="preserve">  </w:t>
      </w:r>
      <w:bookmarkStart w:id="0" w:name="_Hlk140678562"/>
      <w:r>
        <w:rPr>
          <w:rFonts w:hint="eastAsia" w:ascii="仿宋_GB2312" w:hAnsi="仿宋_GB2312" w:eastAsia="仿宋_GB2312"/>
          <w:kern w:val="0"/>
          <w:sz w:val="32"/>
          <w:szCs w:val="32"/>
        </w:rPr>
        <w:t>提供二级及以上医保定点医疗机构近二年住院、门诊病历及相关检查资料，并加盖医保定点医疗机构公章的诊断证明及呼吸专业主治以上医师（含主治医师）制定并签名的治疗计划。</w:t>
      </w:r>
    </w:p>
    <w:bookmarkEnd w:id="0"/>
    <w:p w14:paraId="0F21E633">
      <w:pPr>
        <w:overflowPunct w:val="0"/>
        <w:autoSpaceDE w:val="0"/>
        <w:autoSpaceDN w:val="0"/>
        <w:adjustRightInd w:val="0"/>
        <w:snapToGrid w:val="0"/>
        <w:spacing w:line="570" w:lineRule="exact"/>
        <w:ind w:left="630"/>
        <w:rPr>
          <w:rFonts w:ascii="楷体_GB2312" w:hAnsi="Times New Roman" w:eastAsia="楷体_GB2312"/>
          <w:bCs/>
          <w:sz w:val="32"/>
          <w:szCs w:val="32"/>
        </w:rPr>
      </w:pPr>
      <w:r>
        <w:rPr>
          <w:rFonts w:hint="eastAsia" w:ascii="楷体_GB2312" w:hAnsi="Times New Roman" w:eastAsia="楷体_GB2312"/>
          <w:bCs/>
          <w:sz w:val="32"/>
          <w:szCs w:val="32"/>
        </w:rPr>
        <w:t>（二）治疗指征（认定标准）</w:t>
      </w:r>
    </w:p>
    <w:p w14:paraId="7CA1AFE5">
      <w:pPr>
        <w:overflowPunct w:val="0"/>
        <w:autoSpaceDE w:val="0"/>
        <w:autoSpaceDN w:val="0"/>
        <w:adjustRightInd w:val="0"/>
        <w:snapToGrid w:val="0"/>
        <w:spacing w:line="570" w:lineRule="exact"/>
        <w:rPr>
          <w:rFonts w:ascii="仿宋_GB2312" w:hAnsi="Times New Roman" w:eastAsia="仿宋_GB2312"/>
          <w:kern w:val="0"/>
          <w:sz w:val="32"/>
          <w:szCs w:val="32"/>
        </w:rPr>
      </w:pPr>
      <w:r>
        <w:rPr>
          <w:rFonts w:hint="eastAsia" w:ascii="仿宋_GB2312" w:hAnsi="Times New Roman" w:eastAsia="仿宋_GB2312"/>
          <w:kern w:val="0"/>
          <w:sz w:val="32"/>
          <w:szCs w:val="32"/>
        </w:rPr>
        <w:t xml:space="preserve">    1.</w:t>
      </w:r>
      <w:r>
        <w:rPr>
          <w:rFonts w:hint="eastAsia" w:ascii="仿宋_GB2312" w:hAnsi="仿宋_GB2312" w:eastAsia="仿宋_GB2312"/>
          <w:kern w:val="0"/>
          <w:sz w:val="32"/>
          <w:szCs w:val="32"/>
        </w:rPr>
        <w:t>有慢性阻塞性肺疾病的危险因素；</w:t>
      </w:r>
    </w:p>
    <w:p w14:paraId="785859F7">
      <w:pPr>
        <w:overflowPunct w:val="0"/>
        <w:autoSpaceDE w:val="0"/>
        <w:autoSpaceDN w:val="0"/>
        <w:adjustRightInd w:val="0"/>
        <w:snapToGrid w:val="0"/>
        <w:spacing w:line="570" w:lineRule="exact"/>
        <w:rPr>
          <w:rFonts w:ascii="仿宋_GB2312" w:hAnsi="Times New Roman" w:eastAsia="仿宋_GB2312"/>
          <w:kern w:val="0"/>
          <w:sz w:val="32"/>
          <w:szCs w:val="32"/>
        </w:rPr>
      </w:pPr>
      <w:r>
        <w:rPr>
          <w:rFonts w:hint="eastAsia" w:ascii="仿宋_GB2312" w:hAnsi="Times New Roman" w:eastAsia="仿宋_GB2312"/>
          <w:kern w:val="0"/>
          <w:sz w:val="32"/>
          <w:szCs w:val="32"/>
        </w:rPr>
        <w:t xml:space="preserve">    2.</w:t>
      </w:r>
      <w:r>
        <w:rPr>
          <w:rFonts w:hint="eastAsia" w:ascii="仿宋_GB2312" w:hAnsi="仿宋_GB2312" w:eastAsia="仿宋_GB2312"/>
          <w:kern w:val="0"/>
          <w:sz w:val="32"/>
          <w:szCs w:val="32"/>
        </w:rPr>
        <w:t>慢性咳嗽、咳痰或呼吸困难症状；</w:t>
      </w:r>
    </w:p>
    <w:p w14:paraId="594B2C5E">
      <w:pPr>
        <w:overflowPunct w:val="0"/>
        <w:autoSpaceDE w:val="0"/>
        <w:autoSpaceDN w:val="0"/>
        <w:adjustRightInd w:val="0"/>
        <w:snapToGrid w:val="0"/>
        <w:spacing w:line="570" w:lineRule="exact"/>
        <w:rPr>
          <w:rFonts w:ascii="仿宋_GB2312" w:hAnsi="Times New Roman" w:eastAsia="仿宋_GB2312"/>
          <w:kern w:val="0"/>
          <w:sz w:val="32"/>
          <w:szCs w:val="32"/>
        </w:rPr>
      </w:pPr>
      <w:r>
        <w:rPr>
          <w:rFonts w:hint="eastAsia" w:ascii="仿宋_GB2312" w:hAnsi="Times New Roman" w:eastAsia="仿宋_GB2312"/>
          <w:kern w:val="0"/>
          <w:sz w:val="32"/>
          <w:szCs w:val="32"/>
        </w:rPr>
        <w:t xml:space="preserve">    3.</w:t>
      </w:r>
      <w:r>
        <w:rPr>
          <w:rFonts w:hint="eastAsia" w:ascii="仿宋_GB2312" w:hAnsi="仿宋_GB2312" w:eastAsia="仿宋_GB2312"/>
          <w:kern w:val="0"/>
          <w:sz w:val="32"/>
          <w:szCs w:val="32"/>
        </w:rPr>
        <w:t>有肺气肿的体征；</w:t>
      </w:r>
    </w:p>
    <w:p w14:paraId="155182D0">
      <w:pPr>
        <w:overflowPunct w:val="0"/>
        <w:autoSpaceDE w:val="0"/>
        <w:autoSpaceDN w:val="0"/>
        <w:adjustRightInd w:val="0"/>
        <w:snapToGrid w:val="0"/>
        <w:spacing w:line="570" w:lineRule="exact"/>
        <w:rPr>
          <w:rFonts w:ascii="仿宋_GB2312" w:hAnsi="Times New Roman" w:eastAsia="仿宋_GB2312"/>
          <w:kern w:val="0"/>
          <w:sz w:val="32"/>
          <w:szCs w:val="32"/>
        </w:rPr>
      </w:pPr>
      <w:r>
        <w:rPr>
          <w:rFonts w:hint="eastAsia" w:ascii="仿宋_GB2312" w:hAnsi="Times New Roman" w:eastAsia="仿宋_GB2312"/>
          <w:kern w:val="0"/>
          <w:sz w:val="32"/>
          <w:szCs w:val="32"/>
        </w:rPr>
        <w:t xml:space="preserve">    4.</w:t>
      </w:r>
      <w:r>
        <w:rPr>
          <w:rFonts w:hint="eastAsia" w:ascii="仿宋_GB2312" w:hAnsi="仿宋_GB2312" w:eastAsia="仿宋_GB2312"/>
          <w:kern w:val="0"/>
          <w:sz w:val="32"/>
          <w:szCs w:val="32"/>
        </w:rPr>
        <w:t>胸部影像学检查（</w:t>
      </w:r>
      <w:r>
        <w:rPr>
          <w:rFonts w:hint="eastAsia" w:ascii="仿宋_GB2312" w:hAnsi="Times New Roman" w:eastAsia="仿宋_GB2312"/>
          <w:kern w:val="0"/>
          <w:sz w:val="32"/>
          <w:szCs w:val="32"/>
        </w:rPr>
        <w:t>CT</w:t>
      </w:r>
      <w:r>
        <w:rPr>
          <w:rFonts w:hint="eastAsia" w:ascii="仿宋_GB2312" w:hAnsi="仿宋_GB2312" w:eastAsia="仿宋_GB2312"/>
          <w:kern w:val="0"/>
          <w:sz w:val="32"/>
          <w:szCs w:val="32"/>
        </w:rPr>
        <w:t>或胸片）提示双肺纹理增粗、紊乱、肺气肿、肺大泡等表现；</w:t>
      </w:r>
    </w:p>
    <w:p w14:paraId="230545F7">
      <w:pPr>
        <w:overflowPunct w:val="0"/>
        <w:autoSpaceDE w:val="0"/>
        <w:autoSpaceDN w:val="0"/>
        <w:adjustRightInd w:val="0"/>
        <w:snapToGrid w:val="0"/>
        <w:spacing w:line="570" w:lineRule="exact"/>
        <w:rPr>
          <w:rFonts w:ascii="仿宋_GB2312" w:hAnsi="Times New Roman" w:eastAsia="仿宋_GB2312"/>
          <w:kern w:val="0"/>
          <w:sz w:val="32"/>
          <w:szCs w:val="32"/>
        </w:rPr>
      </w:pPr>
      <w:r>
        <w:rPr>
          <w:rFonts w:hint="eastAsia" w:ascii="仿宋_GB2312" w:hAnsi="Times New Roman" w:eastAsia="仿宋_GB2312"/>
          <w:kern w:val="0"/>
          <w:sz w:val="32"/>
          <w:szCs w:val="32"/>
        </w:rPr>
        <w:t xml:space="preserve">    5.</w:t>
      </w:r>
      <w:r>
        <w:rPr>
          <w:rFonts w:hint="eastAsia" w:ascii="仿宋_GB2312" w:hAnsi="仿宋_GB2312" w:eastAsia="仿宋_GB2312"/>
          <w:kern w:val="0"/>
          <w:sz w:val="32"/>
          <w:szCs w:val="32"/>
        </w:rPr>
        <w:t>肺功能检查：使用支气管扩张剂后</w:t>
      </w:r>
      <w:r>
        <w:rPr>
          <w:rFonts w:hint="eastAsia" w:ascii="仿宋_GB2312" w:hAnsi="Times New Roman" w:eastAsia="仿宋_GB2312"/>
          <w:kern w:val="0"/>
          <w:sz w:val="32"/>
          <w:szCs w:val="32"/>
        </w:rPr>
        <w:t>FEV1/FVC&lt;70%</w:t>
      </w:r>
      <w:r>
        <w:rPr>
          <w:rFonts w:hint="eastAsia" w:ascii="仿宋_GB2312" w:hAnsi="仿宋_GB2312" w:eastAsia="仿宋_GB2312"/>
          <w:kern w:val="0"/>
          <w:sz w:val="32"/>
          <w:szCs w:val="32"/>
        </w:rPr>
        <w:t>可以确认存在不可逆的气流受阻（排除其他疾病后）。</w:t>
      </w:r>
    </w:p>
    <w:p w14:paraId="664F7F4D">
      <w:pPr>
        <w:overflowPunct w:val="0"/>
        <w:autoSpaceDE w:val="0"/>
        <w:autoSpaceDN w:val="0"/>
        <w:adjustRightInd w:val="0"/>
        <w:snapToGrid w:val="0"/>
        <w:spacing w:line="570" w:lineRule="exact"/>
        <w:ind w:firstLine="630" w:firstLineChars="197"/>
        <w:rPr>
          <w:rFonts w:ascii="楷体_GB2312" w:hAnsi="Times New Roman" w:eastAsia="楷体_GB2312"/>
          <w:bCs/>
          <w:sz w:val="32"/>
          <w:szCs w:val="32"/>
        </w:rPr>
      </w:pPr>
      <w:r>
        <w:rPr>
          <w:rFonts w:hint="eastAsia" w:ascii="楷体_GB2312" w:hAnsi="Times New Roman" w:eastAsia="楷体_GB2312"/>
          <w:bCs/>
          <w:sz w:val="32"/>
          <w:szCs w:val="32"/>
        </w:rPr>
        <w:t>（三）门诊诊疗范围</w:t>
      </w:r>
    </w:p>
    <w:p w14:paraId="1C39AF9C">
      <w:pPr>
        <w:overflowPunct w:val="0"/>
        <w:autoSpaceDE w:val="0"/>
        <w:autoSpaceDN w:val="0"/>
        <w:adjustRightInd w:val="0"/>
        <w:snapToGrid w:val="0"/>
        <w:spacing w:line="570" w:lineRule="exact"/>
        <w:rPr>
          <w:rFonts w:ascii="仿宋_GB2312" w:hAnsi="Times New Roman" w:eastAsia="仿宋_GB2312"/>
          <w:bCs/>
          <w:sz w:val="32"/>
          <w:szCs w:val="32"/>
        </w:rPr>
      </w:pPr>
      <w:r>
        <w:rPr>
          <w:rFonts w:hint="eastAsia" w:ascii="仿宋_GB2312" w:hAnsi="Times New Roman" w:eastAsia="仿宋_GB2312"/>
          <w:bCs/>
          <w:sz w:val="32"/>
          <w:szCs w:val="32"/>
        </w:rPr>
        <w:t xml:space="preserve">    1.</w:t>
      </w:r>
      <w:r>
        <w:rPr>
          <w:rFonts w:hint="eastAsia" w:ascii="仿宋_GB2312" w:hAnsi="仿宋_GB2312" w:eastAsia="仿宋_GB2312"/>
          <w:bCs/>
          <w:sz w:val="32"/>
          <w:szCs w:val="32"/>
        </w:rPr>
        <w:t>检查：血细胞分析；痰培养</w:t>
      </w:r>
      <w:r>
        <w:rPr>
          <w:rFonts w:hint="eastAsia" w:ascii="仿宋_GB2312" w:hAnsi="Times New Roman" w:eastAsia="仿宋_GB2312"/>
          <w:bCs/>
          <w:sz w:val="32"/>
          <w:szCs w:val="32"/>
        </w:rPr>
        <w:t>+</w:t>
      </w:r>
      <w:r>
        <w:rPr>
          <w:rFonts w:hint="eastAsia" w:ascii="仿宋_GB2312" w:hAnsi="仿宋_GB2312" w:eastAsia="仿宋_GB2312"/>
          <w:bCs/>
          <w:sz w:val="32"/>
          <w:szCs w:val="32"/>
        </w:rPr>
        <w:t>药敏；肝肾功、电解质、血糖；肺功能检查；胸部</w:t>
      </w:r>
      <w:r>
        <w:rPr>
          <w:rFonts w:hint="eastAsia" w:ascii="仿宋_GB2312" w:hAnsi="Times New Roman" w:eastAsia="仿宋_GB2312"/>
          <w:bCs/>
          <w:sz w:val="32"/>
          <w:szCs w:val="32"/>
        </w:rPr>
        <w:t>CT/</w:t>
      </w:r>
      <w:r>
        <w:rPr>
          <w:rFonts w:hint="eastAsia" w:ascii="仿宋_GB2312" w:hAnsi="仿宋_GB2312" w:eastAsia="仿宋_GB2312"/>
          <w:bCs/>
          <w:sz w:val="32"/>
          <w:szCs w:val="32"/>
        </w:rPr>
        <w:t>胸部</w:t>
      </w:r>
      <w:r>
        <w:rPr>
          <w:rFonts w:hint="eastAsia" w:ascii="仿宋_GB2312" w:hAnsi="Times New Roman" w:eastAsia="仿宋_GB2312"/>
          <w:bCs/>
          <w:sz w:val="32"/>
          <w:szCs w:val="32"/>
        </w:rPr>
        <w:t>X</w:t>
      </w:r>
      <w:r>
        <w:rPr>
          <w:rFonts w:hint="eastAsia" w:ascii="仿宋_GB2312" w:hAnsi="仿宋_GB2312" w:eastAsia="仿宋_GB2312"/>
          <w:bCs/>
          <w:sz w:val="32"/>
          <w:szCs w:val="32"/>
        </w:rPr>
        <w:t>线；心电图；呼出气一氧化氮测定；血气分析；心脏彩超；血氧饱和度监测；下肢静脉血管超声。</w:t>
      </w:r>
    </w:p>
    <w:p w14:paraId="1B454A7A">
      <w:pPr>
        <w:overflowPunct w:val="0"/>
        <w:autoSpaceDE w:val="0"/>
        <w:autoSpaceDN w:val="0"/>
        <w:adjustRightInd w:val="0"/>
        <w:snapToGrid w:val="0"/>
        <w:spacing w:line="570" w:lineRule="exact"/>
        <w:rPr>
          <w:rFonts w:ascii="仿宋_GB2312" w:hAnsi="Times New Roman" w:eastAsia="仿宋_GB2312"/>
          <w:kern w:val="0"/>
          <w:sz w:val="32"/>
          <w:szCs w:val="32"/>
        </w:rPr>
      </w:pPr>
      <w:r>
        <w:rPr>
          <w:rFonts w:hint="eastAsia" w:ascii="仿宋_GB2312" w:hAnsi="Times New Roman" w:eastAsia="仿宋_GB2312"/>
          <w:bCs/>
          <w:sz w:val="32"/>
          <w:szCs w:val="32"/>
        </w:rPr>
        <w:t xml:space="preserve">    2</w:t>
      </w:r>
      <w:r>
        <w:rPr>
          <w:rFonts w:hint="eastAsia" w:ascii="仿宋_GB2312" w:hAnsi="仿宋_GB2312" w:eastAsia="仿宋_GB2312"/>
          <w:bCs/>
          <w:sz w:val="32"/>
          <w:szCs w:val="32"/>
        </w:rPr>
        <w:t>.治疗：吸入药物（单纯支气管扩张剂、双支扩剂、三联制剂、</w:t>
      </w:r>
      <w:r>
        <w:rPr>
          <w:rFonts w:hint="eastAsia" w:ascii="仿宋_GB2312" w:hAnsi="仿宋_GB2312" w:eastAsia="仿宋_GB2312"/>
          <w:sz w:val="32"/>
          <w:szCs w:val="32"/>
        </w:rPr>
        <w:t>吸入糖皮质激素</w:t>
      </w:r>
      <w:r>
        <w:rPr>
          <w:rFonts w:hint="eastAsia" w:ascii="仿宋_GB2312" w:hAnsi="Times New Roman" w:eastAsia="仿宋_GB2312"/>
          <w:sz w:val="32"/>
          <w:szCs w:val="32"/>
        </w:rPr>
        <w:t>+</w:t>
      </w:r>
      <w:r>
        <w:rPr>
          <w:rFonts w:hint="eastAsia" w:ascii="仿宋_GB2312" w:hAnsi="仿宋_GB2312" w:eastAsia="仿宋_GB2312"/>
          <w:sz w:val="32"/>
          <w:szCs w:val="32"/>
        </w:rPr>
        <w:t>长效</w:t>
      </w:r>
      <w:r>
        <w:rPr>
          <w:rFonts w:hint="eastAsia" w:ascii="仿宋_GB2312" w:hAnsi="Times New Roman" w:eastAsia="仿宋_GB2312"/>
          <w:sz w:val="32"/>
          <w:szCs w:val="32"/>
        </w:rPr>
        <w:t>β2</w:t>
      </w:r>
      <w:r>
        <w:rPr>
          <w:rFonts w:hint="eastAsia" w:ascii="仿宋_GB2312" w:hAnsi="仿宋_GB2312" w:eastAsia="仿宋_GB2312"/>
          <w:sz w:val="32"/>
          <w:szCs w:val="32"/>
        </w:rPr>
        <w:t>受体激动剂、吸入糖皮质激素</w:t>
      </w:r>
      <w:r>
        <w:rPr>
          <w:rFonts w:hint="eastAsia" w:ascii="仿宋_GB2312" w:hAnsi="Times New Roman" w:eastAsia="仿宋_GB2312"/>
          <w:sz w:val="32"/>
          <w:szCs w:val="32"/>
        </w:rPr>
        <w:t>+</w:t>
      </w:r>
      <w:r>
        <w:rPr>
          <w:rFonts w:hint="eastAsia" w:ascii="仿宋_GB2312" w:hAnsi="仿宋_GB2312" w:eastAsia="仿宋_GB2312"/>
          <w:sz w:val="32"/>
          <w:szCs w:val="32"/>
        </w:rPr>
        <w:t>长效</w:t>
      </w:r>
      <w:r>
        <w:rPr>
          <w:rFonts w:hint="eastAsia" w:ascii="仿宋_GB2312" w:hAnsi="Times New Roman" w:eastAsia="仿宋_GB2312"/>
          <w:sz w:val="32"/>
          <w:szCs w:val="32"/>
        </w:rPr>
        <w:t>β2</w:t>
      </w:r>
      <w:r>
        <w:rPr>
          <w:rFonts w:hint="eastAsia" w:ascii="仿宋_GB2312" w:hAnsi="仿宋_GB2312" w:eastAsia="仿宋_GB2312"/>
          <w:sz w:val="32"/>
          <w:szCs w:val="32"/>
        </w:rPr>
        <w:t>受体激动剂</w:t>
      </w:r>
      <w:r>
        <w:rPr>
          <w:rFonts w:hint="eastAsia" w:ascii="仿宋_GB2312" w:hAnsi="Times New Roman" w:eastAsia="仿宋_GB2312"/>
          <w:sz w:val="32"/>
          <w:szCs w:val="32"/>
        </w:rPr>
        <w:t>+</w:t>
      </w:r>
      <w:r>
        <w:rPr>
          <w:rFonts w:hint="eastAsia" w:ascii="仿宋_GB2312" w:hAnsi="仿宋_GB2312" w:eastAsia="仿宋_GB2312"/>
          <w:sz w:val="32"/>
          <w:szCs w:val="32"/>
        </w:rPr>
        <w:t>长效胆碱能受体拮抗剂</w:t>
      </w:r>
      <w:r>
        <w:rPr>
          <w:rFonts w:hint="eastAsia" w:ascii="仿宋_GB2312" w:hAnsi="仿宋_GB2312" w:eastAsia="仿宋_GB2312"/>
          <w:bCs/>
          <w:sz w:val="32"/>
          <w:szCs w:val="32"/>
        </w:rPr>
        <w:t>）；黄嘌呤类药物；止咳、祛痰药物；抗感染药物。</w:t>
      </w:r>
    </w:p>
    <w:p w14:paraId="6802E87B">
      <w:pPr>
        <w:overflowPunct w:val="0"/>
        <w:autoSpaceDE w:val="0"/>
        <w:autoSpaceDN w:val="0"/>
        <w:adjustRightInd w:val="0"/>
        <w:snapToGrid w:val="0"/>
        <w:spacing w:line="570" w:lineRule="exact"/>
        <w:ind w:firstLine="630" w:firstLineChars="197"/>
        <w:rPr>
          <w:rFonts w:ascii="楷体_GB2312" w:hAnsi="Times New Roman" w:eastAsia="楷体_GB2312"/>
          <w:bCs/>
          <w:sz w:val="32"/>
          <w:szCs w:val="32"/>
        </w:rPr>
      </w:pPr>
      <w:r>
        <w:rPr>
          <w:rFonts w:hint="eastAsia" w:ascii="楷体_GB2312" w:hAnsi="Times New Roman" w:eastAsia="楷体_GB2312"/>
          <w:bCs/>
          <w:sz w:val="32"/>
          <w:szCs w:val="32"/>
        </w:rPr>
        <w:t>（四）复审期限</w:t>
      </w:r>
    </w:p>
    <w:p w14:paraId="20869165">
      <w:pPr>
        <w:overflowPunct w:val="0"/>
        <w:autoSpaceDE w:val="0"/>
        <w:autoSpaceDN w:val="0"/>
        <w:adjustRightInd w:val="0"/>
        <w:snapToGrid w:val="0"/>
        <w:spacing w:line="570" w:lineRule="exact"/>
        <w:ind w:firstLine="640"/>
        <w:rPr>
          <w:rFonts w:ascii="仿宋_GB2312" w:hAnsi="Times New Roman" w:eastAsia="仿宋_GB2312"/>
          <w:sz w:val="32"/>
          <w:szCs w:val="32"/>
        </w:rPr>
      </w:pPr>
      <w:r>
        <w:rPr>
          <w:rFonts w:hint="eastAsia" w:ascii="仿宋_GB2312" w:hAnsi="仿宋_GB2312" w:eastAsia="仿宋_GB2312"/>
          <w:bCs/>
          <w:sz w:val="32"/>
          <w:szCs w:val="32"/>
        </w:rPr>
        <w:t>每</w:t>
      </w:r>
      <w:r>
        <w:rPr>
          <w:rFonts w:hint="eastAsia" w:ascii="仿宋_GB2312" w:hAnsi="Times New Roman" w:eastAsia="仿宋_GB2312"/>
          <w:bCs/>
          <w:sz w:val="32"/>
          <w:szCs w:val="32"/>
        </w:rPr>
        <w:t>3</w:t>
      </w:r>
      <w:r>
        <w:rPr>
          <w:rFonts w:hint="eastAsia" w:ascii="仿宋_GB2312" w:hAnsi="仿宋_GB2312" w:eastAsia="仿宋_GB2312"/>
          <w:bCs/>
          <w:sz w:val="32"/>
          <w:szCs w:val="32"/>
        </w:rPr>
        <w:t>年复审一次。</w:t>
      </w:r>
      <w:r>
        <w:rPr>
          <w:rFonts w:hint="eastAsia" w:ascii="仿宋_GB2312" w:hAnsi="Times New Roman" w:eastAsia="仿宋_GB2312"/>
          <w:sz w:val="32"/>
          <w:szCs w:val="32"/>
        </w:rPr>
        <w:t xml:space="preserve"> </w:t>
      </w:r>
    </w:p>
    <w:p w14:paraId="77317CCA">
      <w:pPr>
        <w:overflowPunct w:val="0"/>
        <w:autoSpaceDE w:val="0"/>
        <w:autoSpaceDN w:val="0"/>
        <w:adjustRightInd w:val="0"/>
        <w:snapToGrid w:val="0"/>
        <w:spacing w:line="570" w:lineRule="exact"/>
        <w:ind w:firstLine="640"/>
        <w:rPr>
          <w:rFonts w:ascii="仿宋_GB2312" w:hAnsi="Times New Roman" w:eastAsia="仿宋_GB2312"/>
          <w:sz w:val="32"/>
          <w:szCs w:val="32"/>
        </w:rPr>
      </w:pPr>
      <w:r>
        <w:rPr>
          <w:rFonts w:hint="eastAsia" w:ascii="黑体" w:hAnsi="黑体" w:eastAsia="黑体"/>
          <w:sz w:val="32"/>
          <w:szCs w:val="32"/>
        </w:rPr>
        <w:t>二十一、支气管哮喘</w:t>
      </w:r>
    </w:p>
    <w:p w14:paraId="195369C9">
      <w:pPr>
        <w:overflowPunct w:val="0"/>
        <w:autoSpaceDE w:val="0"/>
        <w:autoSpaceDN w:val="0"/>
        <w:adjustRightInd w:val="0"/>
        <w:snapToGrid w:val="0"/>
        <w:spacing w:line="570" w:lineRule="exact"/>
        <w:ind w:firstLine="630" w:firstLineChars="197"/>
        <w:rPr>
          <w:rFonts w:ascii="楷体_GB2312" w:hAnsi="Times New Roman" w:eastAsia="楷体_GB2312"/>
          <w:bCs/>
          <w:sz w:val="32"/>
          <w:szCs w:val="32"/>
        </w:rPr>
      </w:pPr>
      <w:r>
        <w:rPr>
          <w:rFonts w:hint="eastAsia" w:ascii="楷体_GB2312" w:hAnsi="Times New Roman" w:eastAsia="楷体_GB2312"/>
          <w:bCs/>
          <w:sz w:val="32"/>
          <w:szCs w:val="32"/>
        </w:rPr>
        <w:t>（一）申报资料</w:t>
      </w:r>
    </w:p>
    <w:p w14:paraId="48C63453">
      <w:pPr>
        <w:overflowPunct w:val="0"/>
        <w:autoSpaceDE w:val="0"/>
        <w:autoSpaceDN w:val="0"/>
        <w:adjustRightInd w:val="0"/>
        <w:snapToGrid w:val="0"/>
        <w:spacing w:line="570" w:lineRule="exact"/>
        <w:ind w:firstLine="640" w:firstLineChars="200"/>
        <w:rPr>
          <w:rFonts w:ascii="仿宋_GB2312" w:hAnsi="Times New Roman" w:eastAsia="仿宋_GB2312"/>
          <w:sz w:val="32"/>
          <w:szCs w:val="32"/>
        </w:rPr>
      </w:pPr>
      <w:r>
        <w:rPr>
          <w:rFonts w:hint="eastAsia" w:ascii="仿宋_GB2312" w:hAnsi="仿宋_GB2312" w:eastAsia="仿宋_GB2312"/>
          <w:kern w:val="0"/>
          <w:sz w:val="32"/>
          <w:szCs w:val="32"/>
        </w:rPr>
        <w:t>提供二级及以上医保定点医疗机构近二年住院、门诊病历及相关检查资料，并加盖医保定点医疗机构公章的诊断证明及呼吸科主治医师以上（含主治医师）制定并签名的治疗计划。</w:t>
      </w:r>
    </w:p>
    <w:p w14:paraId="26A5129B">
      <w:pPr>
        <w:overflowPunct w:val="0"/>
        <w:autoSpaceDE w:val="0"/>
        <w:autoSpaceDN w:val="0"/>
        <w:adjustRightInd w:val="0"/>
        <w:snapToGrid w:val="0"/>
        <w:spacing w:line="570" w:lineRule="exact"/>
        <w:ind w:firstLine="630" w:firstLineChars="197"/>
        <w:rPr>
          <w:rFonts w:ascii="楷体_GB2312" w:hAnsi="Times New Roman" w:eastAsia="楷体_GB2312"/>
          <w:bCs/>
          <w:sz w:val="32"/>
          <w:szCs w:val="32"/>
        </w:rPr>
      </w:pPr>
      <w:r>
        <w:rPr>
          <w:rFonts w:hint="eastAsia" w:ascii="楷体_GB2312" w:hAnsi="Times New Roman" w:eastAsia="楷体_GB2312"/>
          <w:bCs/>
          <w:sz w:val="32"/>
          <w:szCs w:val="32"/>
        </w:rPr>
        <w:t>（二）治疗指征（认定标准）</w:t>
      </w:r>
    </w:p>
    <w:p w14:paraId="639BC41E">
      <w:pPr>
        <w:overflowPunct w:val="0"/>
        <w:autoSpaceDE w:val="0"/>
        <w:autoSpaceDN w:val="0"/>
        <w:adjustRightInd w:val="0"/>
        <w:snapToGrid w:val="0"/>
        <w:spacing w:line="570" w:lineRule="exact"/>
        <w:rPr>
          <w:rFonts w:ascii="仿宋_GB2312" w:hAnsi="Times New Roman" w:eastAsia="仿宋_GB2312"/>
          <w:bCs/>
          <w:sz w:val="32"/>
          <w:szCs w:val="32"/>
        </w:rPr>
      </w:pPr>
      <w:r>
        <w:rPr>
          <w:rFonts w:hint="eastAsia" w:ascii="仿宋_GB2312" w:hAnsi="Times New Roman" w:eastAsia="仿宋_GB2312"/>
          <w:sz w:val="32"/>
          <w:szCs w:val="32"/>
        </w:rPr>
        <w:t xml:space="preserve">    </w:t>
      </w:r>
      <w:r>
        <w:rPr>
          <w:rFonts w:hint="eastAsia" w:ascii="仿宋_GB2312" w:hAnsi="Times New Roman" w:eastAsia="仿宋_GB2312"/>
          <w:bCs/>
          <w:sz w:val="32"/>
          <w:szCs w:val="32"/>
        </w:rPr>
        <w:t>1.</w:t>
      </w:r>
      <w:r>
        <w:rPr>
          <w:rFonts w:hint="eastAsia" w:ascii="仿宋_GB2312" w:hAnsi="仿宋_GB2312" w:eastAsia="仿宋_GB2312"/>
          <w:bCs/>
          <w:sz w:val="32"/>
          <w:szCs w:val="32"/>
        </w:rPr>
        <w:t>反复发作喘息、呼吸困难、胸闷或咳嗽，多与接触变应原、冷空气、物理、化学性刺激、病毒性上呼吸道感染、运动等有关。</w:t>
      </w:r>
    </w:p>
    <w:p w14:paraId="1510152F">
      <w:pPr>
        <w:overflowPunct w:val="0"/>
        <w:autoSpaceDE w:val="0"/>
        <w:autoSpaceDN w:val="0"/>
        <w:adjustRightInd w:val="0"/>
        <w:snapToGrid w:val="0"/>
        <w:spacing w:line="570" w:lineRule="exact"/>
        <w:rPr>
          <w:rFonts w:ascii="仿宋_GB2312" w:hAnsi="Times New Roman" w:eastAsia="仿宋_GB2312"/>
          <w:bCs/>
          <w:sz w:val="32"/>
          <w:szCs w:val="32"/>
        </w:rPr>
      </w:pPr>
      <w:r>
        <w:rPr>
          <w:rFonts w:hint="eastAsia" w:ascii="仿宋_GB2312" w:hAnsi="Times New Roman" w:eastAsia="仿宋_GB2312"/>
          <w:bCs/>
          <w:sz w:val="32"/>
          <w:szCs w:val="32"/>
        </w:rPr>
        <w:t xml:space="preserve">    2.</w:t>
      </w:r>
      <w:r>
        <w:rPr>
          <w:rFonts w:hint="eastAsia" w:ascii="仿宋_GB2312" w:hAnsi="仿宋_GB2312" w:eastAsia="仿宋_GB2312"/>
          <w:bCs/>
          <w:sz w:val="32"/>
          <w:szCs w:val="32"/>
        </w:rPr>
        <w:t>发作时在双肺可闻及散在或弥漫性，以呼气相为主的哮鸣音，呼气相延长。</w:t>
      </w:r>
    </w:p>
    <w:p w14:paraId="0517C558">
      <w:pPr>
        <w:overflowPunct w:val="0"/>
        <w:autoSpaceDE w:val="0"/>
        <w:autoSpaceDN w:val="0"/>
        <w:adjustRightInd w:val="0"/>
        <w:snapToGrid w:val="0"/>
        <w:spacing w:line="570" w:lineRule="exact"/>
        <w:rPr>
          <w:rFonts w:ascii="仿宋_GB2312" w:hAnsi="Times New Roman" w:eastAsia="仿宋_GB2312"/>
          <w:bCs/>
          <w:sz w:val="32"/>
          <w:szCs w:val="32"/>
        </w:rPr>
      </w:pPr>
      <w:r>
        <w:rPr>
          <w:rFonts w:hint="eastAsia" w:ascii="仿宋_GB2312" w:hAnsi="Times New Roman" w:eastAsia="仿宋_GB2312"/>
          <w:bCs/>
          <w:sz w:val="32"/>
          <w:szCs w:val="32"/>
        </w:rPr>
        <w:t xml:space="preserve">    3.</w:t>
      </w:r>
      <w:r>
        <w:rPr>
          <w:rFonts w:hint="eastAsia" w:ascii="仿宋_GB2312" w:hAnsi="仿宋_GB2312" w:eastAsia="仿宋_GB2312"/>
          <w:bCs/>
          <w:sz w:val="32"/>
          <w:szCs w:val="32"/>
        </w:rPr>
        <w:t>上述症状可经治疗缓解或自行缓解。</w:t>
      </w:r>
    </w:p>
    <w:p w14:paraId="021EE1C5">
      <w:pPr>
        <w:overflowPunct w:val="0"/>
        <w:autoSpaceDE w:val="0"/>
        <w:autoSpaceDN w:val="0"/>
        <w:adjustRightInd w:val="0"/>
        <w:snapToGrid w:val="0"/>
        <w:spacing w:line="570" w:lineRule="exact"/>
        <w:rPr>
          <w:rFonts w:ascii="仿宋_GB2312" w:hAnsi="Times New Roman" w:eastAsia="仿宋_GB2312"/>
          <w:bCs/>
          <w:sz w:val="32"/>
          <w:szCs w:val="32"/>
        </w:rPr>
      </w:pPr>
      <w:r>
        <w:rPr>
          <w:rFonts w:hint="eastAsia" w:ascii="仿宋_GB2312" w:hAnsi="Times New Roman" w:eastAsia="仿宋_GB2312"/>
          <w:bCs/>
          <w:sz w:val="32"/>
          <w:szCs w:val="32"/>
        </w:rPr>
        <w:t xml:space="preserve">    4.</w:t>
      </w:r>
      <w:r>
        <w:rPr>
          <w:rFonts w:hint="eastAsia" w:ascii="仿宋_GB2312" w:hAnsi="仿宋_GB2312" w:eastAsia="仿宋_GB2312"/>
          <w:bCs/>
          <w:sz w:val="32"/>
          <w:szCs w:val="32"/>
        </w:rPr>
        <w:t>肺功能检查应至少具备以下一项试验阳性：</w:t>
      </w:r>
      <w:r>
        <w:rPr>
          <w:rFonts w:hint="eastAsia" w:ascii="仿宋_GB2312" w:hAnsi="Times New Roman" w:eastAsia="仿宋_GB2312"/>
          <w:bCs/>
          <w:sz w:val="32"/>
          <w:szCs w:val="32"/>
        </w:rPr>
        <w:t>(1)</w:t>
      </w:r>
      <w:r>
        <w:rPr>
          <w:rFonts w:hint="eastAsia" w:ascii="仿宋_GB2312" w:hAnsi="仿宋_GB2312" w:eastAsia="仿宋_GB2312"/>
          <w:bCs/>
          <w:sz w:val="32"/>
          <w:szCs w:val="32"/>
        </w:rPr>
        <w:t>支气管激发试验或运动试验阳性</w:t>
      </w:r>
      <w:r>
        <w:rPr>
          <w:rFonts w:hint="eastAsia" w:ascii="仿宋_GB2312" w:hAnsi="Times New Roman" w:eastAsia="仿宋_GB2312"/>
          <w:bCs/>
          <w:sz w:val="32"/>
          <w:szCs w:val="32"/>
        </w:rPr>
        <w:t>;(2)</w:t>
      </w:r>
      <w:r>
        <w:rPr>
          <w:rFonts w:hint="eastAsia" w:ascii="仿宋_GB2312" w:hAnsi="仿宋_GB2312" w:eastAsia="仿宋_GB2312"/>
          <w:bCs/>
          <w:sz w:val="32"/>
          <w:szCs w:val="32"/>
        </w:rPr>
        <w:t>支气管扩张试验阳性</w:t>
      </w:r>
      <w:r>
        <w:rPr>
          <w:rFonts w:hint="eastAsia" w:ascii="仿宋_GB2312" w:hAnsi="Times New Roman" w:eastAsia="仿宋_GB2312"/>
          <w:bCs/>
          <w:sz w:val="32"/>
          <w:szCs w:val="32"/>
        </w:rPr>
        <w:t>;(3)</w:t>
      </w:r>
      <w:r>
        <w:rPr>
          <w:rFonts w:hint="eastAsia" w:ascii="仿宋_GB2312" w:hAnsi="仿宋_GB2312" w:eastAsia="仿宋_GB2312"/>
          <w:bCs/>
          <w:sz w:val="32"/>
          <w:szCs w:val="32"/>
        </w:rPr>
        <w:t>最大呼气流量</w:t>
      </w:r>
      <w:r>
        <w:rPr>
          <w:rFonts w:hint="eastAsia" w:ascii="仿宋_GB2312" w:hAnsi="Times New Roman" w:eastAsia="仿宋_GB2312"/>
          <w:bCs/>
          <w:sz w:val="32"/>
          <w:szCs w:val="32"/>
        </w:rPr>
        <w:t>(PEF)</w:t>
      </w:r>
      <w:r>
        <w:rPr>
          <w:rFonts w:hint="eastAsia" w:ascii="仿宋_GB2312" w:hAnsi="仿宋_GB2312" w:eastAsia="仿宋_GB2312"/>
          <w:bCs/>
          <w:sz w:val="32"/>
          <w:szCs w:val="32"/>
        </w:rPr>
        <w:t>日内变异率或昼夜波动率</w:t>
      </w:r>
      <w:r>
        <w:rPr>
          <w:rFonts w:hint="eastAsia" w:ascii="仿宋_GB2312" w:hAnsi="Times New Roman" w:eastAsia="仿宋_GB2312"/>
          <w:bCs/>
          <w:sz w:val="32"/>
          <w:szCs w:val="32"/>
        </w:rPr>
        <w:t>≥20%</w:t>
      </w:r>
      <w:r>
        <w:rPr>
          <w:rFonts w:hint="eastAsia" w:ascii="仿宋_GB2312" w:hAnsi="仿宋_GB2312" w:eastAsia="仿宋_GB2312"/>
          <w:bCs/>
          <w:sz w:val="32"/>
          <w:szCs w:val="32"/>
        </w:rPr>
        <w:t>。</w:t>
      </w:r>
    </w:p>
    <w:p w14:paraId="3E0D6934">
      <w:pPr>
        <w:overflowPunct w:val="0"/>
        <w:autoSpaceDE w:val="0"/>
        <w:autoSpaceDN w:val="0"/>
        <w:adjustRightInd w:val="0"/>
        <w:snapToGrid w:val="0"/>
        <w:spacing w:line="570" w:lineRule="exact"/>
        <w:rPr>
          <w:rFonts w:ascii="仿宋_GB2312" w:hAnsi="Times New Roman" w:eastAsia="仿宋_GB2312"/>
          <w:kern w:val="0"/>
          <w:sz w:val="32"/>
          <w:szCs w:val="32"/>
        </w:rPr>
      </w:pPr>
      <w:r>
        <w:rPr>
          <w:rFonts w:hint="eastAsia" w:ascii="仿宋_GB2312" w:hAnsi="Times New Roman" w:eastAsia="仿宋_GB2312"/>
          <w:bCs/>
          <w:sz w:val="32"/>
          <w:szCs w:val="32"/>
        </w:rPr>
        <w:t xml:space="preserve">    5.</w:t>
      </w:r>
      <w:r>
        <w:rPr>
          <w:rFonts w:hint="eastAsia" w:ascii="仿宋_GB2312" w:hAnsi="仿宋_GB2312" w:eastAsia="仿宋_GB2312"/>
          <w:bCs/>
          <w:sz w:val="32"/>
          <w:szCs w:val="32"/>
        </w:rPr>
        <w:t>除外其他疾病所引起的喘息、胸闷和咳嗽。</w:t>
      </w:r>
    </w:p>
    <w:p w14:paraId="7C1EC9B9">
      <w:pPr>
        <w:overflowPunct w:val="0"/>
        <w:autoSpaceDE w:val="0"/>
        <w:autoSpaceDN w:val="0"/>
        <w:adjustRightInd w:val="0"/>
        <w:snapToGrid w:val="0"/>
        <w:spacing w:line="570" w:lineRule="exact"/>
        <w:ind w:firstLine="630" w:firstLineChars="197"/>
        <w:rPr>
          <w:rFonts w:ascii="楷体_GB2312" w:hAnsi="Times New Roman" w:eastAsia="楷体_GB2312"/>
          <w:bCs/>
          <w:sz w:val="32"/>
          <w:szCs w:val="32"/>
        </w:rPr>
      </w:pPr>
      <w:r>
        <w:rPr>
          <w:rFonts w:hint="eastAsia" w:ascii="楷体_GB2312" w:hAnsi="Times New Roman" w:eastAsia="楷体_GB2312"/>
          <w:bCs/>
          <w:sz w:val="32"/>
          <w:szCs w:val="32"/>
        </w:rPr>
        <w:t>（三）门诊诊疗范围</w:t>
      </w:r>
    </w:p>
    <w:p w14:paraId="21AD1EC8">
      <w:pPr>
        <w:overflowPunct w:val="0"/>
        <w:autoSpaceDE w:val="0"/>
        <w:autoSpaceDN w:val="0"/>
        <w:adjustRightInd w:val="0"/>
        <w:snapToGrid w:val="0"/>
        <w:spacing w:line="570" w:lineRule="exact"/>
        <w:ind w:firstLine="630" w:firstLineChars="197"/>
        <w:rPr>
          <w:rFonts w:ascii="仿宋_GB2312" w:hAnsi="Times New Roman" w:eastAsia="仿宋_GB2312"/>
          <w:sz w:val="32"/>
          <w:szCs w:val="32"/>
        </w:rPr>
      </w:pPr>
      <w:r>
        <w:rPr>
          <w:rFonts w:hint="eastAsia" w:ascii="仿宋_GB2312" w:hAnsi="Times New Roman" w:eastAsia="仿宋_GB2312"/>
          <w:sz w:val="32"/>
          <w:szCs w:val="32"/>
        </w:rPr>
        <w:t>1.</w:t>
      </w:r>
      <w:r>
        <w:rPr>
          <w:rFonts w:hint="eastAsia" w:ascii="仿宋_GB2312" w:hAnsi="仿宋_GB2312" w:eastAsia="仿宋_GB2312"/>
          <w:sz w:val="32"/>
          <w:szCs w:val="32"/>
        </w:rPr>
        <w:t>吸入糖皮质激素、沙丁胺醇气雾剂、异丙托溴胺、吸入糖皮质激素</w:t>
      </w:r>
      <w:r>
        <w:rPr>
          <w:rFonts w:hint="eastAsia" w:ascii="仿宋_GB2312" w:hAnsi="Times New Roman" w:eastAsia="仿宋_GB2312"/>
          <w:sz w:val="32"/>
          <w:szCs w:val="32"/>
        </w:rPr>
        <w:t>+</w:t>
      </w:r>
      <w:r>
        <w:rPr>
          <w:rFonts w:hint="eastAsia" w:ascii="仿宋_GB2312" w:hAnsi="仿宋_GB2312" w:eastAsia="仿宋_GB2312"/>
          <w:sz w:val="32"/>
          <w:szCs w:val="32"/>
        </w:rPr>
        <w:t>长效</w:t>
      </w:r>
      <w:r>
        <w:rPr>
          <w:rFonts w:hint="eastAsia" w:ascii="仿宋_GB2312" w:hAnsi="Times New Roman" w:eastAsia="仿宋_GB2312"/>
          <w:sz w:val="32"/>
          <w:szCs w:val="32"/>
        </w:rPr>
        <w:t>β2</w:t>
      </w:r>
      <w:r>
        <w:rPr>
          <w:rFonts w:hint="eastAsia" w:ascii="仿宋_GB2312" w:hAnsi="仿宋_GB2312" w:eastAsia="仿宋_GB2312"/>
          <w:sz w:val="32"/>
          <w:szCs w:val="32"/>
        </w:rPr>
        <w:t>受体激动剂、吸入糖皮质激素</w:t>
      </w:r>
      <w:r>
        <w:rPr>
          <w:rFonts w:hint="eastAsia" w:ascii="仿宋_GB2312" w:hAnsi="Times New Roman" w:eastAsia="仿宋_GB2312"/>
          <w:sz w:val="32"/>
          <w:szCs w:val="32"/>
        </w:rPr>
        <w:t>+</w:t>
      </w:r>
      <w:r>
        <w:rPr>
          <w:rFonts w:hint="eastAsia" w:ascii="仿宋_GB2312" w:hAnsi="仿宋_GB2312" w:eastAsia="仿宋_GB2312"/>
          <w:sz w:val="32"/>
          <w:szCs w:val="32"/>
        </w:rPr>
        <w:t>长效</w:t>
      </w:r>
      <w:r>
        <w:rPr>
          <w:rFonts w:hint="eastAsia" w:ascii="仿宋_GB2312" w:hAnsi="Times New Roman" w:eastAsia="仿宋_GB2312"/>
          <w:sz w:val="32"/>
          <w:szCs w:val="32"/>
        </w:rPr>
        <w:t>β2</w:t>
      </w:r>
      <w:r>
        <w:rPr>
          <w:rFonts w:hint="eastAsia" w:ascii="仿宋_GB2312" w:hAnsi="仿宋_GB2312" w:eastAsia="仿宋_GB2312"/>
          <w:sz w:val="32"/>
          <w:szCs w:val="32"/>
        </w:rPr>
        <w:t>受体激动剂</w:t>
      </w:r>
      <w:r>
        <w:rPr>
          <w:rFonts w:hint="eastAsia" w:ascii="仿宋_GB2312" w:hAnsi="Times New Roman" w:eastAsia="仿宋_GB2312"/>
          <w:sz w:val="32"/>
          <w:szCs w:val="32"/>
        </w:rPr>
        <w:t>+</w:t>
      </w:r>
      <w:r>
        <w:rPr>
          <w:rFonts w:hint="eastAsia" w:ascii="仿宋_GB2312" w:hAnsi="仿宋_GB2312" w:eastAsia="仿宋_GB2312"/>
          <w:sz w:val="32"/>
          <w:szCs w:val="32"/>
        </w:rPr>
        <w:t>长效胆碱能受体拮抗剂、抗感染药物、止咳化痰药物、抗过敏药物、黄嘌呤类药物；</w:t>
      </w:r>
    </w:p>
    <w:p w14:paraId="2FA75545">
      <w:pPr>
        <w:overflowPunct w:val="0"/>
        <w:autoSpaceDE w:val="0"/>
        <w:autoSpaceDN w:val="0"/>
        <w:adjustRightInd w:val="0"/>
        <w:snapToGrid w:val="0"/>
        <w:spacing w:line="570" w:lineRule="exact"/>
        <w:rPr>
          <w:rFonts w:ascii="仿宋_GB2312" w:hAnsi="Times New Roman" w:eastAsia="仿宋_GB2312"/>
          <w:kern w:val="0"/>
          <w:sz w:val="32"/>
          <w:szCs w:val="32"/>
        </w:rPr>
      </w:pPr>
      <w:r>
        <w:rPr>
          <w:rFonts w:hint="eastAsia" w:ascii="仿宋_GB2312" w:hAnsi="Times New Roman" w:eastAsia="仿宋_GB2312"/>
          <w:sz w:val="32"/>
          <w:szCs w:val="32"/>
        </w:rPr>
        <w:t xml:space="preserve">    2.</w:t>
      </w:r>
      <w:r>
        <w:rPr>
          <w:rFonts w:hint="eastAsia" w:ascii="仿宋_GB2312" w:hAnsi="仿宋_GB2312" w:eastAsia="仿宋_GB2312"/>
          <w:bCs/>
          <w:sz w:val="32"/>
          <w:szCs w:val="32"/>
        </w:rPr>
        <w:t>检查：血细胞分析；痰培养</w:t>
      </w:r>
      <w:r>
        <w:rPr>
          <w:rFonts w:hint="eastAsia" w:ascii="仿宋_GB2312" w:hAnsi="Times New Roman" w:eastAsia="仿宋_GB2312"/>
          <w:bCs/>
          <w:sz w:val="32"/>
          <w:szCs w:val="32"/>
        </w:rPr>
        <w:t>+</w:t>
      </w:r>
      <w:r>
        <w:rPr>
          <w:rFonts w:hint="eastAsia" w:ascii="仿宋_GB2312" w:hAnsi="仿宋_GB2312" w:eastAsia="仿宋_GB2312"/>
          <w:bCs/>
          <w:sz w:val="32"/>
          <w:szCs w:val="32"/>
        </w:rPr>
        <w:t>药敏；肝肾功、电解质、血糖；肺功能检查；呼出气一氧化氮测定；胸部</w:t>
      </w:r>
      <w:r>
        <w:rPr>
          <w:rFonts w:hint="eastAsia" w:ascii="仿宋_GB2312" w:hAnsi="Times New Roman" w:eastAsia="仿宋_GB2312"/>
          <w:bCs/>
          <w:sz w:val="32"/>
          <w:szCs w:val="32"/>
        </w:rPr>
        <w:t>CT/</w:t>
      </w:r>
      <w:r>
        <w:rPr>
          <w:rFonts w:hint="eastAsia" w:ascii="仿宋_GB2312" w:hAnsi="仿宋_GB2312" w:eastAsia="仿宋_GB2312"/>
          <w:bCs/>
          <w:sz w:val="32"/>
          <w:szCs w:val="32"/>
        </w:rPr>
        <w:t>胸部</w:t>
      </w:r>
      <w:r>
        <w:rPr>
          <w:rFonts w:hint="eastAsia" w:ascii="仿宋_GB2312" w:hAnsi="Times New Roman" w:eastAsia="仿宋_GB2312"/>
          <w:bCs/>
          <w:sz w:val="32"/>
          <w:szCs w:val="32"/>
        </w:rPr>
        <w:t>X</w:t>
      </w:r>
      <w:r>
        <w:rPr>
          <w:rFonts w:hint="eastAsia" w:ascii="仿宋_GB2312" w:hAnsi="仿宋_GB2312" w:eastAsia="仿宋_GB2312"/>
          <w:bCs/>
          <w:sz w:val="32"/>
          <w:szCs w:val="32"/>
        </w:rPr>
        <w:t>线；心电图；血气分析；血氧饱和度监测。</w:t>
      </w:r>
    </w:p>
    <w:p w14:paraId="2E01C336">
      <w:pPr>
        <w:overflowPunct w:val="0"/>
        <w:autoSpaceDE w:val="0"/>
        <w:autoSpaceDN w:val="0"/>
        <w:adjustRightInd w:val="0"/>
        <w:snapToGrid w:val="0"/>
        <w:spacing w:line="570" w:lineRule="exact"/>
        <w:ind w:firstLine="630" w:firstLineChars="197"/>
        <w:rPr>
          <w:rFonts w:ascii="楷体_GB2312" w:hAnsi="Times New Roman" w:eastAsia="楷体_GB2312"/>
          <w:bCs/>
          <w:sz w:val="32"/>
          <w:szCs w:val="32"/>
        </w:rPr>
      </w:pPr>
      <w:r>
        <w:rPr>
          <w:rFonts w:hint="eastAsia" w:ascii="楷体_GB2312" w:hAnsi="Times New Roman" w:eastAsia="楷体_GB2312"/>
          <w:bCs/>
          <w:sz w:val="32"/>
          <w:szCs w:val="32"/>
        </w:rPr>
        <w:t>（四）复审期限</w:t>
      </w:r>
    </w:p>
    <w:p w14:paraId="19B62BA6">
      <w:pPr>
        <w:pStyle w:val="12"/>
        <w:widowControl w:val="0"/>
        <w:overflowPunct w:val="0"/>
        <w:autoSpaceDE w:val="0"/>
        <w:autoSpaceDN w:val="0"/>
        <w:adjustRightInd w:val="0"/>
        <w:snapToGrid w:val="0"/>
        <w:spacing w:line="570" w:lineRule="exact"/>
        <w:jc w:val="both"/>
        <w:rPr>
          <w:rFonts w:ascii="仿宋_GB2312" w:hAnsi="Times New Roman" w:eastAsia="仿宋_GB2312"/>
          <w:bCs/>
          <w:sz w:val="32"/>
          <w:szCs w:val="32"/>
        </w:rPr>
      </w:pPr>
      <w:r>
        <w:rPr>
          <w:rFonts w:hint="eastAsia" w:ascii="仿宋_GB2312" w:hAnsi="Times New Roman" w:eastAsia="仿宋_GB2312"/>
          <w:bCs/>
          <w:sz w:val="32"/>
          <w:szCs w:val="32"/>
        </w:rPr>
        <w:t xml:space="preserve">   </w:t>
      </w:r>
      <w:r>
        <w:rPr>
          <w:rFonts w:hint="eastAsia" w:ascii="仿宋_GB2312" w:hAnsi="仿宋_GB2312" w:eastAsia="仿宋_GB2312"/>
          <w:bCs/>
          <w:sz w:val="32"/>
          <w:szCs w:val="32"/>
        </w:rPr>
        <w:t>每</w:t>
      </w:r>
      <w:r>
        <w:rPr>
          <w:rFonts w:hint="eastAsia" w:ascii="仿宋_GB2312" w:hAnsi="Times New Roman" w:eastAsia="仿宋_GB2312"/>
          <w:bCs/>
          <w:sz w:val="32"/>
          <w:szCs w:val="32"/>
        </w:rPr>
        <w:t>3</w:t>
      </w:r>
      <w:r>
        <w:rPr>
          <w:rFonts w:hint="eastAsia" w:ascii="仿宋_GB2312" w:hAnsi="仿宋_GB2312" w:eastAsia="仿宋_GB2312"/>
          <w:bCs/>
          <w:sz w:val="32"/>
          <w:szCs w:val="32"/>
        </w:rPr>
        <w:t>年复审一次。</w:t>
      </w:r>
    </w:p>
    <w:p w14:paraId="374F4159">
      <w:pPr>
        <w:overflowPunct w:val="0"/>
        <w:autoSpaceDE w:val="0"/>
        <w:autoSpaceDN w:val="0"/>
        <w:adjustRightInd w:val="0"/>
        <w:snapToGrid w:val="0"/>
        <w:spacing w:line="570" w:lineRule="exact"/>
        <w:ind w:firstLine="640" w:firstLineChars="200"/>
        <w:rPr>
          <w:rFonts w:ascii="黑体" w:hAnsi="黑体" w:eastAsia="黑体"/>
          <w:b/>
          <w:bCs/>
          <w:sz w:val="32"/>
          <w:szCs w:val="32"/>
        </w:rPr>
      </w:pPr>
      <w:r>
        <w:rPr>
          <w:rFonts w:hint="eastAsia" w:ascii="黑体" w:hAnsi="黑体" w:eastAsia="黑体"/>
          <w:kern w:val="0"/>
          <w:sz w:val="32"/>
          <w:szCs w:val="32"/>
        </w:rPr>
        <w:t>二十二、</w:t>
      </w:r>
      <w:r>
        <w:rPr>
          <w:rFonts w:hint="eastAsia" w:ascii="黑体" w:hAnsi="黑体" w:eastAsia="黑体"/>
          <w:sz w:val="32"/>
          <w:szCs w:val="32"/>
        </w:rPr>
        <w:t>耐药性结核病</w:t>
      </w:r>
    </w:p>
    <w:p w14:paraId="449DA88C">
      <w:pPr>
        <w:overflowPunct w:val="0"/>
        <w:autoSpaceDE w:val="0"/>
        <w:autoSpaceDN w:val="0"/>
        <w:adjustRightInd w:val="0"/>
        <w:snapToGrid w:val="0"/>
        <w:spacing w:line="570" w:lineRule="exact"/>
        <w:rPr>
          <w:rFonts w:ascii="楷体_GB2312" w:hAnsi="Times New Roman" w:eastAsia="楷体_GB2312"/>
          <w:bCs/>
          <w:sz w:val="32"/>
          <w:szCs w:val="32"/>
        </w:rPr>
      </w:pPr>
      <w:r>
        <w:rPr>
          <w:rFonts w:hint="eastAsia" w:ascii="仿宋_GB2312" w:hAnsi="Times New Roman" w:eastAsia="仿宋_GB2312"/>
          <w:bCs/>
          <w:sz w:val="32"/>
          <w:szCs w:val="32"/>
        </w:rPr>
        <w:t xml:space="preserve">    </w:t>
      </w:r>
      <w:r>
        <w:rPr>
          <w:rFonts w:hint="eastAsia" w:ascii="楷体_GB2312" w:hAnsi="Times New Roman" w:eastAsia="楷体_GB2312"/>
          <w:bCs/>
          <w:sz w:val="32"/>
          <w:szCs w:val="32"/>
        </w:rPr>
        <w:t>（一）申报资料</w:t>
      </w:r>
    </w:p>
    <w:p w14:paraId="3CD4ECF4">
      <w:pPr>
        <w:overflowPunct w:val="0"/>
        <w:autoSpaceDE w:val="0"/>
        <w:autoSpaceDN w:val="0"/>
        <w:adjustRightInd w:val="0"/>
        <w:snapToGrid w:val="0"/>
        <w:spacing w:line="570" w:lineRule="exact"/>
        <w:rPr>
          <w:rFonts w:ascii="仿宋_GB2312" w:hAnsi="Times New Roman" w:eastAsia="仿宋_GB2312"/>
          <w:kern w:val="0"/>
          <w:sz w:val="32"/>
          <w:szCs w:val="32"/>
        </w:rPr>
      </w:pPr>
      <w:r>
        <w:rPr>
          <w:rFonts w:hint="eastAsia" w:ascii="仿宋_GB2312" w:hAnsi="Times New Roman" w:eastAsia="仿宋_GB2312"/>
          <w:bCs/>
          <w:sz w:val="32"/>
          <w:szCs w:val="32"/>
        </w:rPr>
        <w:t xml:space="preserve">    </w:t>
      </w:r>
      <w:r>
        <w:rPr>
          <w:rFonts w:hint="eastAsia" w:ascii="仿宋_GB2312" w:hAnsi="仿宋_GB2312" w:eastAsia="仿宋_GB2312"/>
          <w:bCs/>
          <w:sz w:val="32"/>
          <w:szCs w:val="32"/>
        </w:rPr>
        <w:t>提供二级及以上医保定点医疗机构近一年内住院、门诊病历</w:t>
      </w:r>
      <w:r>
        <w:rPr>
          <w:rFonts w:hint="eastAsia" w:ascii="仿宋_GB2312" w:hAnsi="仿宋_GB2312" w:eastAsia="仿宋_GB2312"/>
          <w:kern w:val="0"/>
          <w:sz w:val="32"/>
          <w:szCs w:val="32"/>
        </w:rPr>
        <w:t>及相关检查资料</w:t>
      </w:r>
      <w:r>
        <w:rPr>
          <w:rFonts w:hint="eastAsia" w:ascii="仿宋_GB2312" w:hAnsi="仿宋_GB2312" w:eastAsia="仿宋_GB2312"/>
          <w:bCs/>
          <w:sz w:val="32"/>
          <w:szCs w:val="32"/>
        </w:rPr>
        <w:t>，并加盖</w:t>
      </w:r>
      <w:r>
        <w:rPr>
          <w:rFonts w:hint="eastAsia" w:ascii="仿宋_GB2312" w:hAnsi="仿宋_GB2312" w:eastAsia="仿宋_GB2312"/>
          <w:kern w:val="0"/>
          <w:sz w:val="32"/>
          <w:szCs w:val="32"/>
        </w:rPr>
        <w:t>医保定点医疗机构</w:t>
      </w:r>
      <w:r>
        <w:rPr>
          <w:rFonts w:hint="eastAsia" w:ascii="仿宋_GB2312" w:hAnsi="仿宋_GB2312" w:eastAsia="仿宋_GB2312"/>
          <w:bCs/>
          <w:sz w:val="32"/>
          <w:szCs w:val="32"/>
        </w:rPr>
        <w:t>公章的诊断证明及呼吸科主治以上医师（含主治医师）治疗计划。</w:t>
      </w:r>
    </w:p>
    <w:p w14:paraId="36AB877D">
      <w:pPr>
        <w:overflowPunct w:val="0"/>
        <w:autoSpaceDE w:val="0"/>
        <w:autoSpaceDN w:val="0"/>
        <w:adjustRightInd w:val="0"/>
        <w:snapToGrid w:val="0"/>
        <w:spacing w:line="570" w:lineRule="exact"/>
        <w:ind w:left="630"/>
        <w:rPr>
          <w:rFonts w:ascii="楷体_GB2312" w:hAnsi="Times New Roman" w:eastAsia="楷体_GB2312"/>
          <w:bCs/>
          <w:sz w:val="32"/>
          <w:szCs w:val="32"/>
        </w:rPr>
      </w:pPr>
      <w:r>
        <w:rPr>
          <w:rFonts w:hint="eastAsia" w:ascii="楷体_GB2312" w:hAnsi="Times New Roman" w:eastAsia="楷体_GB2312"/>
          <w:bCs/>
          <w:sz w:val="32"/>
          <w:szCs w:val="32"/>
        </w:rPr>
        <w:t>（二）治疗指征（认定标准）</w:t>
      </w:r>
    </w:p>
    <w:p w14:paraId="1977B213">
      <w:pPr>
        <w:overflowPunct w:val="0"/>
        <w:autoSpaceDE w:val="0"/>
        <w:autoSpaceDN w:val="0"/>
        <w:adjustRightInd w:val="0"/>
        <w:snapToGrid w:val="0"/>
        <w:spacing w:line="570" w:lineRule="exact"/>
        <w:rPr>
          <w:rFonts w:ascii="仿宋_GB2312" w:hAnsi="Times New Roman" w:eastAsia="仿宋_GB2312"/>
          <w:sz w:val="32"/>
          <w:szCs w:val="32"/>
        </w:rPr>
      </w:pPr>
      <w:r>
        <w:rPr>
          <w:rFonts w:hint="eastAsia" w:ascii="仿宋_GB2312" w:hAnsi="Times New Roman" w:eastAsia="仿宋_GB2312"/>
          <w:bCs/>
          <w:sz w:val="32"/>
          <w:szCs w:val="32"/>
        </w:rPr>
        <w:t xml:space="preserve">    1.</w:t>
      </w:r>
      <w:r>
        <w:rPr>
          <w:rFonts w:hint="eastAsia" w:ascii="仿宋_GB2312" w:hAnsi="仿宋_GB2312" w:eastAsia="仿宋_GB2312"/>
          <w:sz w:val="32"/>
          <w:szCs w:val="32"/>
        </w:rPr>
        <w:t>有或无结核病不规范治疗的病史；</w:t>
      </w:r>
    </w:p>
    <w:p w14:paraId="2BBCA255">
      <w:pPr>
        <w:overflowPunct w:val="0"/>
        <w:autoSpaceDE w:val="0"/>
        <w:autoSpaceDN w:val="0"/>
        <w:adjustRightInd w:val="0"/>
        <w:snapToGrid w:val="0"/>
        <w:spacing w:line="570" w:lineRule="exact"/>
        <w:ind w:firstLine="640" w:firstLineChars="200"/>
        <w:rPr>
          <w:rFonts w:ascii="仿宋_GB2312" w:hAnsi="Times New Roman" w:eastAsia="仿宋_GB2312"/>
          <w:sz w:val="32"/>
          <w:szCs w:val="32"/>
        </w:rPr>
      </w:pPr>
      <w:r>
        <w:rPr>
          <w:rFonts w:hint="eastAsia" w:ascii="仿宋_GB2312" w:hAnsi="Times New Roman" w:eastAsia="仿宋_GB2312"/>
          <w:sz w:val="32"/>
          <w:szCs w:val="32"/>
        </w:rPr>
        <w:t>2.</w:t>
      </w:r>
      <w:r>
        <w:rPr>
          <w:rFonts w:hint="eastAsia" w:ascii="仿宋_GB2312" w:hAnsi="仿宋_GB2312" w:eastAsia="仿宋_GB2312"/>
          <w:sz w:val="32"/>
          <w:szCs w:val="32"/>
        </w:rPr>
        <w:t>胸部影像学资料</w:t>
      </w:r>
      <w:r>
        <w:rPr>
          <w:rFonts w:hint="eastAsia" w:ascii="仿宋_GB2312" w:hAnsi="Times New Roman" w:eastAsia="仿宋_GB2312"/>
          <w:sz w:val="32"/>
          <w:szCs w:val="32"/>
        </w:rPr>
        <w:t>(</w:t>
      </w:r>
      <w:r>
        <w:rPr>
          <w:rFonts w:hint="eastAsia" w:ascii="仿宋_GB2312" w:hAnsi="仿宋_GB2312" w:eastAsia="仿宋_GB2312"/>
          <w:sz w:val="32"/>
          <w:szCs w:val="32"/>
        </w:rPr>
        <w:t>胸片或</w:t>
      </w:r>
      <w:r>
        <w:rPr>
          <w:rFonts w:hint="eastAsia" w:ascii="仿宋_GB2312" w:hAnsi="Times New Roman" w:eastAsia="仿宋_GB2312"/>
          <w:sz w:val="32"/>
          <w:szCs w:val="32"/>
        </w:rPr>
        <w:t>CT)</w:t>
      </w:r>
      <w:r>
        <w:rPr>
          <w:rFonts w:hint="eastAsia" w:ascii="仿宋_GB2312" w:hAnsi="仿宋_GB2312" w:eastAsia="仿宋_GB2312"/>
          <w:sz w:val="32"/>
          <w:szCs w:val="32"/>
        </w:rPr>
        <w:t>，显示活动性肺结核病变特征；</w:t>
      </w:r>
    </w:p>
    <w:p w14:paraId="6FEE6386">
      <w:pPr>
        <w:overflowPunct w:val="0"/>
        <w:autoSpaceDE w:val="0"/>
        <w:autoSpaceDN w:val="0"/>
        <w:adjustRightInd w:val="0"/>
        <w:snapToGrid w:val="0"/>
        <w:spacing w:line="570" w:lineRule="exact"/>
        <w:ind w:firstLine="640"/>
        <w:rPr>
          <w:rFonts w:ascii="仿宋_GB2312" w:hAnsi="Times New Roman" w:eastAsia="仿宋_GB2312"/>
          <w:sz w:val="32"/>
          <w:szCs w:val="32"/>
        </w:rPr>
      </w:pPr>
      <w:r>
        <w:rPr>
          <w:rFonts w:hint="eastAsia" w:ascii="仿宋_GB2312" w:hAnsi="Times New Roman" w:eastAsia="仿宋_GB2312"/>
          <w:sz w:val="32"/>
          <w:szCs w:val="32"/>
        </w:rPr>
        <w:t>3.</w:t>
      </w:r>
      <w:r>
        <w:rPr>
          <w:rFonts w:hint="eastAsia" w:ascii="仿宋_GB2312" w:hAnsi="仿宋_GB2312" w:eastAsia="仿宋_GB2312"/>
          <w:sz w:val="32"/>
          <w:szCs w:val="32"/>
        </w:rPr>
        <w:t>痰或支气管肺泡灌洗液培养出结核分枝杆菌，其药敏实验或分子生物学检查证实，至少对一种或一种以上抗结核药物耐药。</w:t>
      </w:r>
    </w:p>
    <w:p w14:paraId="3272A0CE">
      <w:pPr>
        <w:overflowPunct w:val="0"/>
        <w:autoSpaceDE w:val="0"/>
        <w:autoSpaceDN w:val="0"/>
        <w:adjustRightInd w:val="0"/>
        <w:snapToGrid w:val="0"/>
        <w:spacing w:line="570" w:lineRule="exact"/>
        <w:ind w:firstLine="640"/>
        <w:rPr>
          <w:rFonts w:ascii="楷体_GB2312" w:hAnsi="Times New Roman" w:eastAsia="楷体_GB2312"/>
          <w:bCs/>
          <w:sz w:val="32"/>
          <w:szCs w:val="32"/>
        </w:rPr>
      </w:pPr>
      <w:r>
        <w:rPr>
          <w:rFonts w:hint="eastAsia" w:ascii="楷体_GB2312" w:hAnsi="Times New Roman" w:eastAsia="楷体_GB2312"/>
          <w:bCs/>
          <w:sz w:val="32"/>
          <w:szCs w:val="32"/>
        </w:rPr>
        <w:t>（三）门诊诊疗范围</w:t>
      </w:r>
    </w:p>
    <w:p w14:paraId="329D28FC">
      <w:pPr>
        <w:overflowPunct w:val="0"/>
        <w:autoSpaceDE w:val="0"/>
        <w:autoSpaceDN w:val="0"/>
        <w:adjustRightInd w:val="0"/>
        <w:snapToGrid w:val="0"/>
        <w:spacing w:line="570" w:lineRule="exact"/>
        <w:ind w:firstLine="640" w:firstLineChars="200"/>
        <w:rPr>
          <w:rFonts w:ascii="仿宋_GB2312" w:hAnsi="Times New Roman" w:eastAsia="仿宋_GB2312"/>
          <w:bCs/>
          <w:sz w:val="32"/>
          <w:szCs w:val="32"/>
        </w:rPr>
      </w:pPr>
      <w:r>
        <w:rPr>
          <w:rFonts w:hint="eastAsia" w:ascii="仿宋_GB2312" w:hAnsi="Times New Roman" w:eastAsia="仿宋_GB2312"/>
          <w:bCs/>
          <w:sz w:val="32"/>
          <w:szCs w:val="32"/>
        </w:rPr>
        <w:t>1.</w:t>
      </w:r>
      <w:r>
        <w:rPr>
          <w:rFonts w:hint="eastAsia" w:ascii="仿宋_GB2312" w:hAnsi="仿宋_GB2312" w:eastAsia="仿宋_GB2312"/>
          <w:bCs/>
          <w:sz w:val="32"/>
          <w:szCs w:val="32"/>
        </w:rPr>
        <w:t>检查</w:t>
      </w:r>
      <w:r>
        <w:rPr>
          <w:rFonts w:hint="eastAsia" w:ascii="仿宋_GB2312" w:hAnsi="Times New Roman" w:eastAsia="仿宋_GB2312"/>
          <w:bCs/>
          <w:sz w:val="32"/>
          <w:szCs w:val="32"/>
        </w:rPr>
        <w:t>:</w:t>
      </w:r>
      <w:r>
        <w:rPr>
          <w:rFonts w:hint="eastAsia" w:ascii="仿宋_GB2312" w:hAnsi="仿宋_GB2312" w:eastAsia="仿宋_GB2312"/>
          <w:bCs/>
          <w:sz w:val="32"/>
          <w:szCs w:val="32"/>
        </w:rPr>
        <w:t>血常规检查、肝肾功能检查、血沉、</w:t>
      </w:r>
      <w:r>
        <w:rPr>
          <w:rFonts w:hint="eastAsia" w:ascii="仿宋_GB2312" w:hAnsi="Times New Roman" w:eastAsia="仿宋_GB2312"/>
          <w:bCs/>
          <w:sz w:val="32"/>
          <w:szCs w:val="32"/>
        </w:rPr>
        <w:t>PPD</w:t>
      </w:r>
      <w:r>
        <w:rPr>
          <w:rFonts w:hint="eastAsia" w:ascii="仿宋_GB2312" w:hAnsi="仿宋_GB2312" w:eastAsia="仿宋_GB2312"/>
          <w:bCs/>
          <w:sz w:val="32"/>
          <w:szCs w:val="32"/>
        </w:rPr>
        <w:t>试验、痰结核杆菌培养及药敏、结核病耐药基因检测、胸部</w:t>
      </w:r>
      <w:r>
        <w:rPr>
          <w:rFonts w:hint="eastAsia" w:ascii="仿宋_GB2312" w:hAnsi="Times New Roman" w:eastAsia="仿宋_GB2312"/>
          <w:bCs/>
          <w:sz w:val="32"/>
          <w:szCs w:val="32"/>
        </w:rPr>
        <w:t>X</w:t>
      </w:r>
      <w:r>
        <w:rPr>
          <w:rFonts w:hint="eastAsia" w:ascii="仿宋_GB2312" w:hAnsi="仿宋_GB2312" w:eastAsia="仿宋_GB2312"/>
          <w:bCs/>
          <w:sz w:val="32"/>
          <w:szCs w:val="32"/>
        </w:rPr>
        <w:t>线</w:t>
      </w:r>
      <w:r>
        <w:rPr>
          <w:rFonts w:hint="eastAsia" w:ascii="仿宋_GB2312" w:hAnsi="Times New Roman" w:eastAsia="仿宋_GB2312"/>
          <w:bCs/>
          <w:sz w:val="32"/>
          <w:szCs w:val="32"/>
        </w:rPr>
        <w:t>/</w:t>
      </w:r>
      <w:r>
        <w:rPr>
          <w:rFonts w:hint="eastAsia" w:ascii="仿宋_GB2312" w:hAnsi="仿宋_GB2312" w:eastAsia="仿宋_GB2312"/>
          <w:bCs/>
          <w:sz w:val="32"/>
          <w:szCs w:val="32"/>
        </w:rPr>
        <w:t>胸部</w:t>
      </w:r>
      <w:r>
        <w:rPr>
          <w:rFonts w:hint="eastAsia" w:ascii="仿宋_GB2312" w:hAnsi="Times New Roman" w:eastAsia="仿宋_GB2312"/>
          <w:bCs/>
          <w:sz w:val="32"/>
          <w:szCs w:val="32"/>
        </w:rPr>
        <w:t>CT</w:t>
      </w:r>
      <w:r>
        <w:rPr>
          <w:rFonts w:hint="eastAsia" w:ascii="仿宋_GB2312" w:hAnsi="仿宋_GB2312" w:eastAsia="仿宋_GB2312"/>
          <w:bCs/>
          <w:sz w:val="32"/>
          <w:szCs w:val="32"/>
        </w:rPr>
        <w:t>、心电图；</w:t>
      </w:r>
    </w:p>
    <w:p w14:paraId="5D7E9E36">
      <w:pPr>
        <w:overflowPunct w:val="0"/>
        <w:autoSpaceDE w:val="0"/>
        <w:autoSpaceDN w:val="0"/>
        <w:adjustRightInd w:val="0"/>
        <w:snapToGrid w:val="0"/>
        <w:spacing w:line="570" w:lineRule="exact"/>
        <w:ind w:firstLine="640" w:firstLineChars="200"/>
        <w:rPr>
          <w:rFonts w:ascii="仿宋_GB2312" w:hAnsi="Times New Roman" w:eastAsia="仿宋_GB2312"/>
          <w:sz w:val="32"/>
          <w:szCs w:val="32"/>
        </w:rPr>
      </w:pPr>
      <w:r>
        <w:rPr>
          <w:rFonts w:hint="eastAsia" w:ascii="仿宋_GB2312" w:hAnsi="Times New Roman" w:eastAsia="仿宋_GB2312"/>
          <w:bCs/>
          <w:sz w:val="32"/>
          <w:szCs w:val="32"/>
        </w:rPr>
        <w:t>2.</w:t>
      </w:r>
      <w:r>
        <w:rPr>
          <w:rFonts w:hint="eastAsia" w:ascii="仿宋_GB2312" w:hAnsi="仿宋_GB2312" w:eastAsia="仿宋_GB2312"/>
          <w:bCs/>
          <w:sz w:val="32"/>
          <w:szCs w:val="32"/>
        </w:rPr>
        <w:t>治疗</w:t>
      </w:r>
      <w:r>
        <w:rPr>
          <w:rFonts w:hint="eastAsia" w:ascii="仿宋_GB2312" w:hAnsi="Times New Roman" w:eastAsia="仿宋_GB2312"/>
          <w:bCs/>
          <w:sz w:val="32"/>
          <w:szCs w:val="32"/>
        </w:rPr>
        <w:t>:</w:t>
      </w:r>
      <w:r>
        <w:rPr>
          <w:rFonts w:hint="eastAsia" w:ascii="仿宋_GB2312" w:hAnsi="仿宋_GB2312" w:eastAsia="仿宋_GB2312"/>
          <w:bCs/>
          <w:sz w:val="32"/>
          <w:szCs w:val="32"/>
        </w:rPr>
        <w:t>抗结核药物、基本保肝药物、祛痰止咳药物。</w:t>
      </w:r>
    </w:p>
    <w:p w14:paraId="401EDFBD">
      <w:pPr>
        <w:overflowPunct w:val="0"/>
        <w:autoSpaceDE w:val="0"/>
        <w:autoSpaceDN w:val="0"/>
        <w:adjustRightInd w:val="0"/>
        <w:snapToGrid w:val="0"/>
        <w:spacing w:line="570" w:lineRule="exact"/>
        <w:rPr>
          <w:rFonts w:ascii="楷体_GB2312" w:hAnsi="Times New Roman" w:eastAsia="楷体_GB2312"/>
          <w:bCs/>
          <w:sz w:val="32"/>
          <w:szCs w:val="32"/>
        </w:rPr>
      </w:pPr>
      <w:r>
        <w:rPr>
          <w:rFonts w:hint="eastAsia" w:ascii="仿宋_GB2312" w:hAnsi="Times New Roman" w:eastAsia="仿宋_GB2312"/>
          <w:bCs/>
          <w:sz w:val="32"/>
          <w:szCs w:val="32"/>
        </w:rPr>
        <w:t xml:space="preserve">    </w:t>
      </w:r>
      <w:r>
        <w:rPr>
          <w:rFonts w:hint="eastAsia" w:ascii="楷体_GB2312" w:hAnsi="Times New Roman" w:eastAsia="楷体_GB2312"/>
          <w:bCs/>
          <w:sz w:val="32"/>
          <w:szCs w:val="32"/>
        </w:rPr>
        <w:t>（四）复审期限</w:t>
      </w:r>
    </w:p>
    <w:p w14:paraId="1056EF19">
      <w:pPr>
        <w:pStyle w:val="12"/>
        <w:widowControl w:val="0"/>
        <w:overflowPunct w:val="0"/>
        <w:autoSpaceDE w:val="0"/>
        <w:autoSpaceDN w:val="0"/>
        <w:adjustRightInd w:val="0"/>
        <w:snapToGrid w:val="0"/>
        <w:spacing w:line="570" w:lineRule="exact"/>
        <w:ind w:firstLine="0"/>
        <w:jc w:val="both"/>
        <w:rPr>
          <w:rFonts w:ascii="仿宋_GB2312" w:hAnsi="Times New Roman" w:eastAsia="仿宋_GB2312"/>
          <w:sz w:val="32"/>
          <w:szCs w:val="32"/>
        </w:rPr>
      </w:pPr>
      <w:r>
        <w:rPr>
          <w:rFonts w:hint="eastAsia" w:ascii="仿宋_GB2312" w:hAnsi="Times New Roman" w:eastAsia="仿宋_GB2312"/>
          <w:bCs/>
          <w:sz w:val="32"/>
          <w:szCs w:val="32"/>
        </w:rPr>
        <w:t xml:space="preserve">    </w:t>
      </w:r>
      <w:r>
        <w:rPr>
          <w:rFonts w:hint="eastAsia" w:ascii="仿宋_GB2312" w:hAnsi="仿宋_GB2312" w:eastAsia="仿宋_GB2312"/>
          <w:bCs/>
          <w:sz w:val="32"/>
          <w:szCs w:val="32"/>
        </w:rPr>
        <w:t>每</w:t>
      </w:r>
      <w:r>
        <w:rPr>
          <w:rFonts w:hint="eastAsia" w:ascii="仿宋_GB2312" w:hAnsi="Times New Roman" w:eastAsia="仿宋_GB2312"/>
          <w:bCs/>
          <w:sz w:val="32"/>
          <w:szCs w:val="32"/>
        </w:rPr>
        <w:t>2</w:t>
      </w:r>
      <w:r>
        <w:rPr>
          <w:rFonts w:hint="eastAsia" w:ascii="仿宋_GB2312" w:hAnsi="仿宋_GB2312" w:eastAsia="仿宋_GB2312"/>
          <w:bCs/>
          <w:sz w:val="32"/>
          <w:szCs w:val="32"/>
        </w:rPr>
        <w:t>年复审一次。</w:t>
      </w:r>
    </w:p>
    <w:p w14:paraId="4DA5339A">
      <w:pPr>
        <w:pStyle w:val="12"/>
        <w:widowControl w:val="0"/>
        <w:overflowPunct w:val="0"/>
        <w:autoSpaceDE w:val="0"/>
        <w:autoSpaceDN w:val="0"/>
        <w:adjustRightInd w:val="0"/>
        <w:snapToGrid w:val="0"/>
        <w:spacing w:line="570" w:lineRule="exact"/>
        <w:ind w:firstLine="0"/>
        <w:jc w:val="both"/>
        <w:rPr>
          <w:rFonts w:ascii="黑体" w:hAnsi="黑体" w:eastAsia="黑体"/>
          <w:bCs/>
          <w:sz w:val="32"/>
          <w:szCs w:val="32"/>
        </w:rPr>
      </w:pPr>
      <w:r>
        <w:rPr>
          <w:rFonts w:hint="eastAsia" w:ascii="仿宋_GB2312" w:hAnsi="Times New Roman" w:eastAsia="仿宋_GB2312"/>
          <w:bCs/>
          <w:sz w:val="32"/>
          <w:szCs w:val="32"/>
        </w:rPr>
        <w:t xml:space="preserve">    </w:t>
      </w:r>
      <w:r>
        <w:rPr>
          <w:rFonts w:hint="eastAsia" w:ascii="黑体" w:hAnsi="黑体" w:eastAsia="黑体"/>
          <w:bCs/>
          <w:sz w:val="32"/>
          <w:szCs w:val="32"/>
        </w:rPr>
        <w:t>二十三、肺结核</w:t>
      </w:r>
    </w:p>
    <w:p w14:paraId="6BC9C7F5">
      <w:pPr>
        <w:overflowPunct w:val="0"/>
        <w:autoSpaceDE w:val="0"/>
        <w:autoSpaceDN w:val="0"/>
        <w:adjustRightInd w:val="0"/>
        <w:snapToGrid w:val="0"/>
        <w:spacing w:line="570" w:lineRule="exact"/>
        <w:ind w:firstLine="640" w:firstLineChars="200"/>
        <w:rPr>
          <w:rFonts w:ascii="楷体_GB2312" w:hAnsi="Times New Roman" w:eastAsia="楷体_GB2312"/>
          <w:bCs/>
          <w:sz w:val="32"/>
          <w:szCs w:val="32"/>
        </w:rPr>
      </w:pPr>
      <w:r>
        <w:rPr>
          <w:rFonts w:hint="eastAsia" w:ascii="楷体_GB2312" w:hAnsi="Times New Roman" w:eastAsia="楷体_GB2312"/>
          <w:bCs/>
          <w:sz w:val="32"/>
          <w:szCs w:val="32"/>
        </w:rPr>
        <w:t>（一）申报资料</w:t>
      </w:r>
    </w:p>
    <w:p w14:paraId="265D47FE">
      <w:pPr>
        <w:overflowPunct w:val="0"/>
        <w:autoSpaceDE w:val="0"/>
        <w:autoSpaceDN w:val="0"/>
        <w:adjustRightInd w:val="0"/>
        <w:snapToGrid w:val="0"/>
        <w:spacing w:line="570" w:lineRule="exact"/>
        <w:rPr>
          <w:rFonts w:ascii="仿宋_GB2312" w:hAnsi="Times New Roman" w:eastAsia="仿宋_GB2312"/>
          <w:kern w:val="0"/>
          <w:sz w:val="32"/>
          <w:szCs w:val="32"/>
        </w:rPr>
      </w:pPr>
      <w:r>
        <w:rPr>
          <w:rFonts w:hint="eastAsia" w:ascii="仿宋_GB2312" w:hAnsi="Times New Roman" w:eastAsia="仿宋_GB2312"/>
          <w:sz w:val="32"/>
          <w:szCs w:val="32"/>
        </w:rPr>
        <w:t xml:space="preserve">    </w:t>
      </w:r>
      <w:r>
        <w:rPr>
          <w:rFonts w:hint="eastAsia" w:ascii="仿宋_GB2312" w:hAnsi="仿宋_GB2312" w:eastAsia="仿宋_GB2312"/>
          <w:sz w:val="32"/>
          <w:szCs w:val="32"/>
        </w:rPr>
        <w:t>提供二级及以上医保定点医疗机构近半年内住院、门诊病历</w:t>
      </w:r>
      <w:r>
        <w:rPr>
          <w:rFonts w:hint="eastAsia" w:ascii="仿宋_GB2312" w:hAnsi="仿宋_GB2312" w:eastAsia="仿宋_GB2312"/>
          <w:kern w:val="0"/>
          <w:sz w:val="32"/>
          <w:szCs w:val="32"/>
        </w:rPr>
        <w:t>及相关检查资料</w:t>
      </w:r>
      <w:r>
        <w:rPr>
          <w:rFonts w:hint="eastAsia" w:ascii="仿宋_GB2312" w:hAnsi="仿宋_GB2312" w:eastAsia="仿宋_GB2312"/>
          <w:sz w:val="32"/>
          <w:szCs w:val="32"/>
        </w:rPr>
        <w:t>，并加盖</w:t>
      </w:r>
      <w:r>
        <w:rPr>
          <w:rFonts w:hint="eastAsia" w:ascii="仿宋_GB2312" w:hAnsi="仿宋_GB2312" w:eastAsia="仿宋_GB2312"/>
          <w:kern w:val="0"/>
          <w:sz w:val="32"/>
          <w:szCs w:val="32"/>
        </w:rPr>
        <w:t>医保定点医疗机构</w:t>
      </w:r>
      <w:r>
        <w:rPr>
          <w:rFonts w:hint="eastAsia" w:ascii="仿宋_GB2312" w:hAnsi="仿宋_GB2312" w:eastAsia="仿宋_GB2312"/>
          <w:sz w:val="32"/>
          <w:szCs w:val="32"/>
        </w:rPr>
        <w:t>公章的诊断证明及呼吸科主治以上医师（含主治医师）治疗计划。</w:t>
      </w:r>
    </w:p>
    <w:p w14:paraId="15016DDA">
      <w:pPr>
        <w:overflowPunct w:val="0"/>
        <w:autoSpaceDE w:val="0"/>
        <w:autoSpaceDN w:val="0"/>
        <w:adjustRightInd w:val="0"/>
        <w:snapToGrid w:val="0"/>
        <w:spacing w:line="570" w:lineRule="exact"/>
        <w:ind w:firstLine="640" w:firstLineChars="200"/>
        <w:rPr>
          <w:rFonts w:ascii="楷体_GB2312" w:hAnsi="Times New Roman" w:eastAsia="楷体_GB2312"/>
          <w:bCs/>
          <w:sz w:val="32"/>
          <w:szCs w:val="32"/>
        </w:rPr>
      </w:pPr>
      <w:r>
        <w:rPr>
          <w:rFonts w:hint="eastAsia" w:ascii="楷体_GB2312" w:hAnsi="Times New Roman" w:eastAsia="楷体_GB2312"/>
          <w:bCs/>
          <w:sz w:val="32"/>
          <w:szCs w:val="32"/>
        </w:rPr>
        <w:t>（二）治疗指征（认定标准）</w:t>
      </w:r>
    </w:p>
    <w:p w14:paraId="3F1AB733">
      <w:pPr>
        <w:overflowPunct w:val="0"/>
        <w:autoSpaceDE w:val="0"/>
        <w:autoSpaceDN w:val="0"/>
        <w:adjustRightInd w:val="0"/>
        <w:snapToGrid w:val="0"/>
        <w:spacing w:line="570" w:lineRule="exact"/>
        <w:rPr>
          <w:rFonts w:ascii="仿宋_GB2312" w:hAnsi="Times New Roman" w:eastAsia="仿宋_GB2312"/>
          <w:sz w:val="32"/>
          <w:szCs w:val="32"/>
        </w:rPr>
      </w:pPr>
      <w:r>
        <w:rPr>
          <w:rFonts w:hint="eastAsia" w:ascii="仿宋_GB2312" w:hAnsi="Times New Roman" w:eastAsia="仿宋_GB2312"/>
          <w:sz w:val="32"/>
          <w:szCs w:val="32"/>
        </w:rPr>
        <w:t xml:space="preserve">    1.</w:t>
      </w:r>
      <w:r>
        <w:rPr>
          <w:rFonts w:hint="eastAsia" w:ascii="仿宋_GB2312" w:hAnsi="仿宋_GB2312" w:eastAsia="仿宋_GB2312"/>
          <w:sz w:val="32"/>
          <w:szCs w:val="32"/>
        </w:rPr>
        <w:t>有或无发热、乏力、咳嗽、咳痰等症状；</w:t>
      </w:r>
    </w:p>
    <w:p w14:paraId="146207B8">
      <w:pPr>
        <w:overflowPunct w:val="0"/>
        <w:autoSpaceDE w:val="0"/>
        <w:autoSpaceDN w:val="0"/>
        <w:adjustRightInd w:val="0"/>
        <w:snapToGrid w:val="0"/>
        <w:spacing w:line="570" w:lineRule="exact"/>
        <w:rPr>
          <w:rFonts w:ascii="仿宋_GB2312" w:hAnsi="Times New Roman" w:eastAsia="仿宋_GB2312"/>
          <w:sz w:val="32"/>
          <w:szCs w:val="32"/>
        </w:rPr>
      </w:pPr>
      <w:r>
        <w:rPr>
          <w:rFonts w:hint="eastAsia" w:ascii="仿宋_GB2312" w:hAnsi="Times New Roman" w:eastAsia="仿宋_GB2312"/>
          <w:sz w:val="32"/>
          <w:szCs w:val="32"/>
        </w:rPr>
        <w:t xml:space="preserve">    2.</w:t>
      </w:r>
      <w:r>
        <w:rPr>
          <w:rFonts w:hint="eastAsia" w:ascii="仿宋_GB2312" w:hAnsi="仿宋_GB2312" w:eastAsia="仿宋_GB2312"/>
          <w:sz w:val="32"/>
          <w:szCs w:val="32"/>
        </w:rPr>
        <w:t>胸部影像学检查</w:t>
      </w:r>
      <w:r>
        <w:rPr>
          <w:rFonts w:hint="eastAsia" w:ascii="仿宋_GB2312" w:hAnsi="Times New Roman" w:eastAsia="仿宋_GB2312"/>
          <w:sz w:val="32"/>
          <w:szCs w:val="32"/>
        </w:rPr>
        <w:t>(</w:t>
      </w:r>
      <w:r>
        <w:rPr>
          <w:rFonts w:hint="eastAsia" w:ascii="仿宋_GB2312" w:hAnsi="仿宋_GB2312" w:eastAsia="仿宋_GB2312"/>
          <w:sz w:val="32"/>
          <w:szCs w:val="32"/>
        </w:rPr>
        <w:t>胸片或</w:t>
      </w:r>
      <w:r>
        <w:rPr>
          <w:rFonts w:hint="eastAsia" w:ascii="仿宋_GB2312" w:hAnsi="Times New Roman" w:eastAsia="仿宋_GB2312"/>
          <w:sz w:val="32"/>
          <w:szCs w:val="32"/>
        </w:rPr>
        <w:t>CT)</w:t>
      </w:r>
      <w:r>
        <w:rPr>
          <w:rFonts w:hint="eastAsia" w:ascii="仿宋_GB2312" w:hAnsi="仿宋_GB2312" w:eastAsia="仿宋_GB2312"/>
          <w:sz w:val="32"/>
          <w:szCs w:val="32"/>
        </w:rPr>
        <w:t>资料，表述活动性肺结核病灶或胸腔积液；</w:t>
      </w:r>
    </w:p>
    <w:p w14:paraId="06B4107C">
      <w:pPr>
        <w:overflowPunct w:val="0"/>
        <w:autoSpaceDE w:val="0"/>
        <w:autoSpaceDN w:val="0"/>
        <w:adjustRightInd w:val="0"/>
        <w:snapToGrid w:val="0"/>
        <w:spacing w:line="570" w:lineRule="exact"/>
        <w:ind w:firstLine="640"/>
        <w:rPr>
          <w:rFonts w:ascii="仿宋_GB2312" w:hAnsi="Times New Roman" w:eastAsia="仿宋_GB2312"/>
          <w:sz w:val="32"/>
          <w:szCs w:val="32"/>
        </w:rPr>
      </w:pPr>
      <w:r>
        <w:rPr>
          <w:rFonts w:hint="eastAsia" w:ascii="仿宋_GB2312" w:hAnsi="Times New Roman" w:eastAsia="仿宋_GB2312"/>
          <w:sz w:val="32"/>
          <w:szCs w:val="32"/>
        </w:rPr>
        <w:t>3.</w:t>
      </w:r>
      <w:r>
        <w:rPr>
          <w:rFonts w:hint="eastAsia" w:ascii="仿宋_GB2312" w:hAnsi="仿宋_GB2312" w:eastAsia="仿宋_GB2312"/>
          <w:sz w:val="32"/>
          <w:szCs w:val="32"/>
        </w:rPr>
        <w:t>痰、支气管肺泡灌洗液或胸水中抗酸染色阳性，或培养出结核分枝杆菌，或肺、胸膜活检病理诊断结核；</w:t>
      </w:r>
    </w:p>
    <w:p w14:paraId="70830CD1">
      <w:pPr>
        <w:overflowPunct w:val="0"/>
        <w:autoSpaceDE w:val="0"/>
        <w:autoSpaceDN w:val="0"/>
        <w:adjustRightInd w:val="0"/>
        <w:snapToGrid w:val="0"/>
        <w:spacing w:line="570" w:lineRule="exact"/>
        <w:ind w:firstLine="640"/>
        <w:rPr>
          <w:rFonts w:ascii="仿宋_GB2312" w:hAnsi="Times New Roman" w:eastAsia="仿宋_GB2312"/>
          <w:sz w:val="32"/>
          <w:szCs w:val="32"/>
        </w:rPr>
      </w:pPr>
      <w:r>
        <w:rPr>
          <w:rFonts w:hint="eastAsia" w:ascii="仿宋_GB2312" w:hAnsi="Times New Roman" w:eastAsia="仿宋_GB2312"/>
          <w:sz w:val="32"/>
          <w:szCs w:val="32"/>
        </w:rPr>
        <w:t>4.</w:t>
      </w:r>
      <w:r>
        <w:rPr>
          <w:rFonts w:hint="eastAsia" w:ascii="仿宋_GB2312" w:hAnsi="仿宋_GB2312" w:eastAsia="仿宋_GB2312"/>
          <w:sz w:val="32"/>
          <w:szCs w:val="32"/>
        </w:rPr>
        <w:t>胸水常规生化提示为渗出液，胸水腺苷脱氨酶升高。</w:t>
      </w:r>
    </w:p>
    <w:p w14:paraId="2FE1B083">
      <w:pPr>
        <w:overflowPunct w:val="0"/>
        <w:autoSpaceDE w:val="0"/>
        <w:autoSpaceDN w:val="0"/>
        <w:adjustRightInd w:val="0"/>
        <w:snapToGrid w:val="0"/>
        <w:spacing w:line="570" w:lineRule="exact"/>
        <w:ind w:firstLine="640" w:firstLineChars="200"/>
        <w:rPr>
          <w:rFonts w:ascii="楷体_GB2312" w:hAnsi="Times New Roman" w:eastAsia="楷体_GB2312"/>
          <w:bCs/>
          <w:sz w:val="32"/>
          <w:szCs w:val="32"/>
        </w:rPr>
      </w:pPr>
      <w:r>
        <w:rPr>
          <w:rFonts w:hint="eastAsia" w:ascii="楷体_GB2312" w:hAnsi="Times New Roman" w:eastAsia="楷体_GB2312"/>
          <w:bCs/>
          <w:sz w:val="32"/>
          <w:szCs w:val="32"/>
        </w:rPr>
        <w:t>（三）门诊诊疗范围</w:t>
      </w:r>
    </w:p>
    <w:p w14:paraId="7C23D450">
      <w:pPr>
        <w:overflowPunct w:val="0"/>
        <w:autoSpaceDE w:val="0"/>
        <w:autoSpaceDN w:val="0"/>
        <w:adjustRightInd w:val="0"/>
        <w:snapToGrid w:val="0"/>
        <w:spacing w:line="570" w:lineRule="exact"/>
        <w:rPr>
          <w:rFonts w:ascii="仿宋_GB2312" w:hAnsi="Times New Roman" w:eastAsia="仿宋_GB2312"/>
          <w:sz w:val="32"/>
          <w:szCs w:val="32"/>
        </w:rPr>
      </w:pPr>
      <w:r>
        <w:rPr>
          <w:rFonts w:hint="eastAsia" w:ascii="仿宋_GB2312" w:hAnsi="Times New Roman" w:eastAsia="仿宋_GB2312"/>
          <w:sz w:val="32"/>
          <w:szCs w:val="32"/>
        </w:rPr>
        <w:t xml:space="preserve">    1.</w:t>
      </w:r>
      <w:r>
        <w:rPr>
          <w:rFonts w:hint="eastAsia" w:ascii="仿宋_GB2312" w:hAnsi="仿宋_GB2312" w:eastAsia="仿宋_GB2312"/>
          <w:sz w:val="32"/>
          <w:szCs w:val="32"/>
        </w:rPr>
        <w:t>检查：血常规检查；肝肾功能检查；痰抗酸染色；痰结核杆菌培养及药敏；胸部</w:t>
      </w:r>
      <w:r>
        <w:rPr>
          <w:rFonts w:hint="eastAsia" w:ascii="仿宋_GB2312" w:hAnsi="Times New Roman" w:eastAsia="仿宋_GB2312"/>
          <w:sz w:val="32"/>
          <w:szCs w:val="32"/>
        </w:rPr>
        <w:t>X</w:t>
      </w:r>
      <w:r>
        <w:rPr>
          <w:rFonts w:hint="eastAsia" w:ascii="仿宋_GB2312" w:hAnsi="仿宋_GB2312" w:eastAsia="仿宋_GB2312"/>
          <w:sz w:val="32"/>
          <w:szCs w:val="32"/>
        </w:rPr>
        <w:t>线或胸部</w:t>
      </w:r>
      <w:r>
        <w:rPr>
          <w:rFonts w:hint="eastAsia" w:ascii="仿宋_GB2312" w:hAnsi="Times New Roman" w:eastAsia="仿宋_GB2312"/>
          <w:sz w:val="32"/>
          <w:szCs w:val="32"/>
        </w:rPr>
        <w:t>CT</w:t>
      </w:r>
      <w:r>
        <w:rPr>
          <w:rFonts w:hint="eastAsia" w:ascii="仿宋_GB2312" w:hAnsi="仿宋_GB2312" w:eastAsia="仿宋_GB2312"/>
          <w:sz w:val="32"/>
          <w:szCs w:val="32"/>
        </w:rPr>
        <w:t>；心电图。</w:t>
      </w:r>
    </w:p>
    <w:p w14:paraId="0FB0C82B">
      <w:pPr>
        <w:overflowPunct w:val="0"/>
        <w:autoSpaceDE w:val="0"/>
        <w:autoSpaceDN w:val="0"/>
        <w:adjustRightInd w:val="0"/>
        <w:snapToGrid w:val="0"/>
        <w:spacing w:line="570" w:lineRule="exact"/>
        <w:rPr>
          <w:rFonts w:ascii="仿宋_GB2312" w:hAnsi="Times New Roman" w:eastAsia="仿宋_GB2312"/>
          <w:sz w:val="32"/>
          <w:szCs w:val="32"/>
        </w:rPr>
      </w:pPr>
      <w:r>
        <w:rPr>
          <w:rFonts w:hint="eastAsia" w:ascii="仿宋_GB2312" w:hAnsi="Times New Roman" w:eastAsia="仿宋_GB2312"/>
          <w:sz w:val="32"/>
          <w:szCs w:val="32"/>
        </w:rPr>
        <w:t xml:space="preserve">    2.</w:t>
      </w:r>
      <w:r>
        <w:rPr>
          <w:rFonts w:hint="eastAsia" w:ascii="仿宋_GB2312" w:hAnsi="仿宋_GB2312" w:eastAsia="仿宋_GB2312"/>
          <w:sz w:val="32"/>
          <w:szCs w:val="32"/>
        </w:rPr>
        <w:t>治疗：一线抗结核药物</w:t>
      </w:r>
      <w:r>
        <w:rPr>
          <w:rFonts w:hint="eastAsia" w:ascii="仿宋_GB2312" w:hAnsi="Times New Roman" w:eastAsia="仿宋_GB2312"/>
          <w:sz w:val="32"/>
          <w:szCs w:val="32"/>
        </w:rPr>
        <w:t>(</w:t>
      </w:r>
      <w:r>
        <w:rPr>
          <w:rFonts w:hint="eastAsia" w:ascii="仿宋_GB2312" w:hAnsi="仿宋_GB2312" w:eastAsia="仿宋_GB2312"/>
          <w:sz w:val="32"/>
          <w:szCs w:val="32"/>
        </w:rPr>
        <w:t>异烟肼、利福平或利福喷丁、吡嗪酰胺、乙胺丁醇、链霉素</w:t>
      </w:r>
      <w:r>
        <w:rPr>
          <w:rFonts w:hint="eastAsia" w:ascii="仿宋_GB2312" w:hAnsi="Times New Roman" w:eastAsia="仿宋_GB2312"/>
          <w:sz w:val="32"/>
          <w:szCs w:val="32"/>
        </w:rPr>
        <w:t>)</w:t>
      </w:r>
      <w:r>
        <w:rPr>
          <w:rFonts w:hint="eastAsia" w:ascii="仿宋_GB2312" w:hAnsi="仿宋_GB2312" w:eastAsia="仿宋_GB2312"/>
          <w:sz w:val="32"/>
          <w:szCs w:val="32"/>
        </w:rPr>
        <w:t>；基本保肝药；止咳、祛痰药物。</w:t>
      </w:r>
    </w:p>
    <w:p w14:paraId="04117A29">
      <w:pPr>
        <w:overflowPunct w:val="0"/>
        <w:autoSpaceDE w:val="0"/>
        <w:autoSpaceDN w:val="0"/>
        <w:adjustRightInd w:val="0"/>
        <w:snapToGrid w:val="0"/>
        <w:spacing w:line="570" w:lineRule="exact"/>
        <w:ind w:firstLine="640" w:firstLineChars="200"/>
        <w:rPr>
          <w:rFonts w:ascii="楷体_GB2312" w:hAnsi="Times New Roman" w:eastAsia="楷体_GB2312"/>
          <w:bCs/>
          <w:sz w:val="32"/>
          <w:szCs w:val="32"/>
        </w:rPr>
      </w:pPr>
      <w:r>
        <w:rPr>
          <w:rFonts w:hint="eastAsia" w:ascii="楷体_GB2312" w:hAnsi="Times New Roman" w:eastAsia="楷体_GB2312"/>
          <w:bCs/>
          <w:sz w:val="32"/>
          <w:szCs w:val="32"/>
        </w:rPr>
        <w:t>（四）复审期限</w:t>
      </w:r>
    </w:p>
    <w:p w14:paraId="20FE83C4">
      <w:pPr>
        <w:pStyle w:val="12"/>
        <w:widowControl w:val="0"/>
        <w:overflowPunct w:val="0"/>
        <w:autoSpaceDE w:val="0"/>
        <w:autoSpaceDN w:val="0"/>
        <w:adjustRightInd w:val="0"/>
        <w:snapToGrid w:val="0"/>
        <w:spacing w:line="570" w:lineRule="exact"/>
        <w:jc w:val="both"/>
        <w:rPr>
          <w:rFonts w:ascii="仿宋_GB2312" w:hAnsi="Times New Roman" w:eastAsia="仿宋_GB2312"/>
          <w:bCs/>
          <w:sz w:val="32"/>
          <w:szCs w:val="32"/>
        </w:rPr>
      </w:pPr>
      <w:r>
        <w:rPr>
          <w:rFonts w:hint="eastAsia" w:ascii="仿宋_GB2312" w:hAnsi="Times New Roman" w:eastAsia="仿宋_GB2312"/>
          <w:bCs/>
          <w:sz w:val="32"/>
          <w:szCs w:val="32"/>
        </w:rPr>
        <w:t xml:space="preserve">   </w:t>
      </w:r>
      <w:r>
        <w:rPr>
          <w:rFonts w:hint="eastAsia" w:ascii="仿宋_GB2312" w:hAnsi="仿宋_GB2312" w:eastAsia="仿宋_GB2312"/>
          <w:bCs/>
          <w:sz w:val="32"/>
          <w:szCs w:val="32"/>
        </w:rPr>
        <w:t>每</w:t>
      </w:r>
      <w:r>
        <w:rPr>
          <w:rFonts w:hint="eastAsia" w:ascii="仿宋_GB2312" w:hAnsi="Times New Roman" w:eastAsia="仿宋_GB2312"/>
          <w:bCs/>
          <w:sz w:val="32"/>
          <w:szCs w:val="32"/>
        </w:rPr>
        <w:t>1</w:t>
      </w:r>
      <w:r>
        <w:rPr>
          <w:rFonts w:hint="eastAsia" w:ascii="仿宋_GB2312" w:hAnsi="仿宋_GB2312" w:eastAsia="仿宋_GB2312"/>
          <w:bCs/>
          <w:sz w:val="32"/>
          <w:szCs w:val="32"/>
        </w:rPr>
        <w:t>年复审一次。</w:t>
      </w:r>
      <w:r>
        <w:rPr>
          <w:rFonts w:hint="eastAsia" w:ascii="仿宋_GB2312" w:hAnsi="Times New Roman" w:eastAsia="仿宋_GB2312"/>
          <w:sz w:val="32"/>
          <w:szCs w:val="32"/>
        </w:rPr>
        <w:t xml:space="preserve">  </w:t>
      </w:r>
      <w:r>
        <w:rPr>
          <w:rFonts w:hint="eastAsia" w:ascii="黑体" w:hAnsi="黑体" w:eastAsia="黑体"/>
          <w:sz w:val="32"/>
          <w:szCs w:val="32"/>
        </w:rPr>
        <w:t xml:space="preserve"> </w:t>
      </w:r>
    </w:p>
    <w:p w14:paraId="30440880">
      <w:pPr>
        <w:overflowPunct w:val="0"/>
        <w:autoSpaceDE w:val="0"/>
        <w:autoSpaceDN w:val="0"/>
        <w:adjustRightInd w:val="0"/>
        <w:snapToGrid w:val="0"/>
        <w:spacing w:line="570" w:lineRule="exact"/>
        <w:ind w:firstLine="627" w:firstLineChars="196"/>
        <w:rPr>
          <w:rFonts w:ascii="黑体" w:hAnsi="黑体" w:eastAsia="黑体"/>
          <w:sz w:val="32"/>
          <w:szCs w:val="32"/>
        </w:rPr>
      </w:pPr>
      <w:r>
        <w:rPr>
          <w:rFonts w:hint="eastAsia" w:ascii="黑体" w:hAnsi="黑体" w:eastAsia="黑体"/>
          <w:sz w:val="32"/>
          <w:szCs w:val="32"/>
        </w:rPr>
        <w:t>二十四、原发免疫性血小板减少症</w:t>
      </w:r>
    </w:p>
    <w:p w14:paraId="3015B886">
      <w:pPr>
        <w:overflowPunct w:val="0"/>
        <w:autoSpaceDE w:val="0"/>
        <w:autoSpaceDN w:val="0"/>
        <w:adjustRightInd w:val="0"/>
        <w:snapToGrid w:val="0"/>
        <w:spacing w:line="570" w:lineRule="exact"/>
        <w:ind w:firstLine="640" w:firstLineChars="200"/>
        <w:rPr>
          <w:rFonts w:ascii="楷体_GB2312" w:hAnsi="Times New Roman" w:eastAsia="楷体_GB2312"/>
          <w:bCs/>
          <w:sz w:val="32"/>
          <w:szCs w:val="32"/>
        </w:rPr>
      </w:pPr>
      <w:r>
        <w:rPr>
          <w:rFonts w:hint="eastAsia" w:ascii="楷体_GB2312" w:hAnsi="Times New Roman" w:eastAsia="楷体_GB2312"/>
          <w:bCs/>
          <w:sz w:val="32"/>
          <w:szCs w:val="32"/>
        </w:rPr>
        <w:t>（一）申报资料</w:t>
      </w:r>
    </w:p>
    <w:p w14:paraId="1E61D697">
      <w:pPr>
        <w:overflowPunct w:val="0"/>
        <w:autoSpaceDE w:val="0"/>
        <w:autoSpaceDN w:val="0"/>
        <w:adjustRightInd w:val="0"/>
        <w:snapToGrid w:val="0"/>
        <w:spacing w:line="570" w:lineRule="exact"/>
        <w:ind w:firstLine="640" w:firstLineChars="200"/>
        <w:rPr>
          <w:rFonts w:ascii="仿宋_GB2312" w:hAnsi="Times New Roman" w:eastAsia="仿宋_GB2312"/>
          <w:sz w:val="32"/>
          <w:szCs w:val="32"/>
        </w:rPr>
      </w:pPr>
      <w:r>
        <w:rPr>
          <w:rFonts w:hint="eastAsia" w:ascii="仿宋_GB2312" w:hAnsi="Times New Roman" w:eastAsia="仿宋_GB2312"/>
          <w:sz w:val="32"/>
          <w:szCs w:val="32"/>
        </w:rPr>
        <w:t>1.须提供医保定点医疗机构患者本人近半年的与所申请病种相符合的住院病历或完整的门诊病历；</w:t>
      </w:r>
    </w:p>
    <w:p w14:paraId="3ABBD7C2">
      <w:pPr>
        <w:overflowPunct w:val="0"/>
        <w:autoSpaceDE w:val="0"/>
        <w:autoSpaceDN w:val="0"/>
        <w:adjustRightInd w:val="0"/>
        <w:snapToGrid w:val="0"/>
        <w:spacing w:line="570" w:lineRule="exact"/>
        <w:ind w:firstLine="640" w:firstLineChars="200"/>
        <w:rPr>
          <w:rFonts w:ascii="仿宋_GB2312" w:hAnsi="Times New Roman" w:eastAsia="仿宋_GB2312"/>
          <w:sz w:val="32"/>
          <w:szCs w:val="32"/>
        </w:rPr>
      </w:pPr>
      <w:r>
        <w:rPr>
          <w:rFonts w:hint="eastAsia" w:ascii="仿宋_GB2312" w:hAnsi="Times New Roman" w:eastAsia="仿宋_GB2312"/>
          <w:sz w:val="32"/>
          <w:szCs w:val="32"/>
        </w:rPr>
        <w:t>2.医保定点医疗机构血液科副主任医师以上（含副主任医师）签名的治疗计划。</w:t>
      </w:r>
    </w:p>
    <w:p w14:paraId="27C550D8">
      <w:pPr>
        <w:overflowPunct w:val="0"/>
        <w:autoSpaceDE w:val="0"/>
        <w:autoSpaceDN w:val="0"/>
        <w:adjustRightInd w:val="0"/>
        <w:snapToGrid w:val="0"/>
        <w:spacing w:line="570" w:lineRule="exact"/>
        <w:ind w:firstLine="640" w:firstLineChars="200"/>
        <w:rPr>
          <w:rFonts w:ascii="仿宋_GB2312" w:hAnsi="Times New Roman" w:eastAsia="仿宋_GB2312"/>
          <w:sz w:val="32"/>
          <w:szCs w:val="32"/>
        </w:rPr>
      </w:pPr>
      <w:r>
        <w:rPr>
          <w:rFonts w:hint="eastAsia" w:ascii="仿宋_GB2312" w:hAnsi="Times New Roman" w:eastAsia="仿宋_GB2312"/>
          <w:sz w:val="32"/>
          <w:szCs w:val="32"/>
        </w:rPr>
        <w:t>3.医保定点医疗机构加盖公章的诊断证明书。</w:t>
      </w:r>
    </w:p>
    <w:p w14:paraId="2FC73307">
      <w:pPr>
        <w:overflowPunct w:val="0"/>
        <w:autoSpaceDE w:val="0"/>
        <w:autoSpaceDN w:val="0"/>
        <w:adjustRightInd w:val="0"/>
        <w:snapToGrid w:val="0"/>
        <w:spacing w:line="570" w:lineRule="exact"/>
        <w:ind w:firstLine="627" w:firstLineChars="196"/>
        <w:rPr>
          <w:rFonts w:ascii="楷体_GB2312" w:hAnsi="Times New Roman" w:eastAsia="楷体_GB2312"/>
          <w:bCs/>
          <w:sz w:val="32"/>
          <w:szCs w:val="32"/>
        </w:rPr>
      </w:pPr>
      <w:r>
        <w:rPr>
          <w:rFonts w:hint="eastAsia" w:ascii="楷体_GB2312" w:hAnsi="Times New Roman" w:eastAsia="楷体_GB2312"/>
          <w:bCs/>
          <w:sz w:val="32"/>
          <w:szCs w:val="32"/>
        </w:rPr>
        <w:t>（二）治疗指征（认定标准）</w:t>
      </w:r>
    </w:p>
    <w:p w14:paraId="28921AFC">
      <w:pPr>
        <w:overflowPunct w:val="0"/>
        <w:autoSpaceDE w:val="0"/>
        <w:autoSpaceDN w:val="0"/>
        <w:adjustRightInd w:val="0"/>
        <w:snapToGrid w:val="0"/>
        <w:spacing w:line="570" w:lineRule="exact"/>
        <w:ind w:firstLine="627" w:firstLineChars="196"/>
        <w:rPr>
          <w:rFonts w:ascii="仿宋_GB2312" w:hAnsi="Times New Roman" w:eastAsia="仿宋_GB2312"/>
          <w:sz w:val="32"/>
          <w:szCs w:val="32"/>
        </w:rPr>
      </w:pPr>
      <w:r>
        <w:rPr>
          <w:rFonts w:hint="eastAsia" w:ascii="仿宋_GB2312" w:hAnsi="Times New Roman" w:eastAsia="仿宋_GB2312"/>
          <w:sz w:val="32"/>
          <w:szCs w:val="32"/>
        </w:rPr>
        <w:t>诊断明确，需要治疗。</w:t>
      </w:r>
    </w:p>
    <w:p w14:paraId="7DA00EA3">
      <w:pPr>
        <w:overflowPunct w:val="0"/>
        <w:autoSpaceDE w:val="0"/>
        <w:autoSpaceDN w:val="0"/>
        <w:adjustRightInd w:val="0"/>
        <w:snapToGrid w:val="0"/>
        <w:spacing w:line="570" w:lineRule="exact"/>
        <w:ind w:firstLine="640" w:firstLineChars="200"/>
        <w:rPr>
          <w:rFonts w:ascii="楷体_GB2312" w:hAnsi="Times New Roman" w:eastAsia="楷体_GB2312"/>
          <w:bCs/>
          <w:sz w:val="32"/>
          <w:szCs w:val="32"/>
        </w:rPr>
      </w:pPr>
      <w:r>
        <w:rPr>
          <w:rFonts w:hint="eastAsia" w:ascii="楷体_GB2312" w:hAnsi="Times New Roman" w:eastAsia="楷体_GB2312"/>
          <w:bCs/>
          <w:sz w:val="32"/>
          <w:szCs w:val="32"/>
        </w:rPr>
        <w:t>（三）门诊诊疗范围</w:t>
      </w:r>
    </w:p>
    <w:p w14:paraId="597E0845">
      <w:pPr>
        <w:overflowPunct w:val="0"/>
        <w:autoSpaceDE w:val="0"/>
        <w:autoSpaceDN w:val="0"/>
        <w:adjustRightInd w:val="0"/>
        <w:snapToGrid w:val="0"/>
        <w:spacing w:line="570" w:lineRule="exact"/>
        <w:ind w:firstLine="640" w:firstLineChars="200"/>
        <w:rPr>
          <w:rFonts w:ascii="仿宋_GB2312" w:hAnsi="Times New Roman" w:eastAsia="仿宋_GB2312"/>
          <w:sz w:val="32"/>
          <w:szCs w:val="32"/>
        </w:rPr>
      </w:pPr>
      <w:r>
        <w:rPr>
          <w:rFonts w:hint="eastAsia" w:ascii="仿宋_GB2312" w:hAnsi="Times New Roman" w:eastAsia="仿宋_GB2312"/>
          <w:sz w:val="32"/>
          <w:szCs w:val="32"/>
        </w:rPr>
        <w:t>1.原发免疫性血小板减少症的药物等治疗；</w:t>
      </w:r>
    </w:p>
    <w:p w14:paraId="1223BC59">
      <w:pPr>
        <w:overflowPunct w:val="0"/>
        <w:autoSpaceDE w:val="0"/>
        <w:autoSpaceDN w:val="0"/>
        <w:adjustRightInd w:val="0"/>
        <w:snapToGrid w:val="0"/>
        <w:spacing w:line="570" w:lineRule="exact"/>
        <w:ind w:firstLine="640" w:firstLineChars="200"/>
        <w:rPr>
          <w:rFonts w:ascii="仿宋_GB2312" w:hAnsi="Times New Roman" w:eastAsia="仿宋_GB2312"/>
          <w:sz w:val="32"/>
          <w:szCs w:val="32"/>
        </w:rPr>
      </w:pPr>
      <w:r>
        <w:rPr>
          <w:rFonts w:hint="eastAsia" w:ascii="仿宋_GB2312" w:hAnsi="Times New Roman" w:eastAsia="仿宋_GB2312"/>
          <w:sz w:val="32"/>
          <w:szCs w:val="32"/>
        </w:rPr>
        <w:t>2.治疗期间及治疗后的相关检查。</w:t>
      </w:r>
    </w:p>
    <w:p w14:paraId="4326F70B">
      <w:pPr>
        <w:overflowPunct w:val="0"/>
        <w:autoSpaceDE w:val="0"/>
        <w:autoSpaceDN w:val="0"/>
        <w:adjustRightInd w:val="0"/>
        <w:snapToGrid w:val="0"/>
        <w:spacing w:line="570" w:lineRule="exact"/>
        <w:ind w:firstLine="640" w:firstLineChars="200"/>
        <w:rPr>
          <w:rFonts w:ascii="楷体_GB2312" w:hAnsi="Times New Roman" w:eastAsia="楷体_GB2312"/>
          <w:bCs/>
          <w:sz w:val="32"/>
          <w:szCs w:val="32"/>
        </w:rPr>
      </w:pPr>
      <w:r>
        <w:rPr>
          <w:rFonts w:hint="eastAsia" w:ascii="楷体_GB2312" w:hAnsi="Times New Roman" w:eastAsia="楷体_GB2312"/>
          <w:bCs/>
          <w:sz w:val="32"/>
          <w:szCs w:val="32"/>
        </w:rPr>
        <w:t>（四）复审期限</w:t>
      </w:r>
    </w:p>
    <w:p w14:paraId="2994FF6F">
      <w:pPr>
        <w:overflowPunct w:val="0"/>
        <w:autoSpaceDE w:val="0"/>
        <w:autoSpaceDN w:val="0"/>
        <w:adjustRightInd w:val="0"/>
        <w:snapToGrid w:val="0"/>
        <w:spacing w:line="570" w:lineRule="exact"/>
        <w:ind w:firstLine="627" w:firstLineChars="196"/>
        <w:rPr>
          <w:rFonts w:ascii="仿宋_GB2312" w:hAnsi="Times New Roman" w:eastAsia="仿宋_GB2312"/>
          <w:bCs/>
          <w:sz w:val="32"/>
          <w:szCs w:val="32"/>
        </w:rPr>
      </w:pPr>
      <w:r>
        <w:rPr>
          <w:rFonts w:hint="eastAsia" w:ascii="仿宋_GB2312" w:hAnsi="仿宋_GB2312" w:eastAsia="仿宋_GB2312"/>
          <w:bCs/>
          <w:sz w:val="32"/>
          <w:szCs w:val="32"/>
        </w:rPr>
        <w:t>每</w:t>
      </w:r>
      <w:r>
        <w:rPr>
          <w:rFonts w:hint="eastAsia" w:ascii="仿宋_GB2312" w:hAnsi="Times New Roman" w:eastAsia="仿宋_GB2312"/>
          <w:bCs/>
          <w:sz w:val="32"/>
          <w:szCs w:val="32"/>
        </w:rPr>
        <w:t>1</w:t>
      </w:r>
      <w:r>
        <w:rPr>
          <w:rFonts w:hint="eastAsia" w:ascii="仿宋_GB2312" w:hAnsi="仿宋_GB2312" w:eastAsia="仿宋_GB2312"/>
          <w:bCs/>
          <w:sz w:val="32"/>
          <w:szCs w:val="32"/>
        </w:rPr>
        <w:t>年复审一次。</w:t>
      </w:r>
    </w:p>
    <w:p w14:paraId="2FE3CC41">
      <w:pPr>
        <w:overflowPunct w:val="0"/>
        <w:autoSpaceDE w:val="0"/>
        <w:autoSpaceDN w:val="0"/>
        <w:adjustRightInd w:val="0"/>
        <w:snapToGrid w:val="0"/>
        <w:spacing w:line="570" w:lineRule="exact"/>
        <w:ind w:firstLine="640" w:firstLineChars="200"/>
        <w:rPr>
          <w:rFonts w:ascii="黑体" w:hAnsi="黑体" w:eastAsia="黑体"/>
          <w:sz w:val="32"/>
          <w:szCs w:val="32"/>
        </w:rPr>
      </w:pPr>
      <w:r>
        <w:rPr>
          <w:rFonts w:hint="eastAsia" w:ascii="黑体" w:hAnsi="黑体" w:eastAsia="黑体"/>
          <w:sz w:val="32"/>
          <w:szCs w:val="32"/>
        </w:rPr>
        <w:t>二十五、冠状动脉搭桥术后状态</w:t>
      </w:r>
    </w:p>
    <w:p w14:paraId="34A3A01F">
      <w:pPr>
        <w:overflowPunct w:val="0"/>
        <w:autoSpaceDE w:val="0"/>
        <w:autoSpaceDN w:val="0"/>
        <w:adjustRightInd w:val="0"/>
        <w:snapToGrid w:val="0"/>
        <w:spacing w:line="570" w:lineRule="exact"/>
        <w:ind w:firstLine="640" w:firstLineChars="200"/>
        <w:rPr>
          <w:rFonts w:ascii="楷体_GB2312" w:hAnsi="Times New Roman" w:eastAsia="楷体_GB2312"/>
          <w:bCs/>
          <w:sz w:val="32"/>
          <w:szCs w:val="32"/>
        </w:rPr>
      </w:pPr>
      <w:r>
        <w:rPr>
          <w:rFonts w:hint="eastAsia" w:ascii="楷体_GB2312" w:hAnsi="Times New Roman" w:eastAsia="楷体_GB2312"/>
          <w:bCs/>
          <w:sz w:val="32"/>
          <w:szCs w:val="32"/>
        </w:rPr>
        <w:t>（一）申报资料</w:t>
      </w:r>
    </w:p>
    <w:p w14:paraId="5188ED90">
      <w:pPr>
        <w:overflowPunct w:val="0"/>
        <w:autoSpaceDE w:val="0"/>
        <w:autoSpaceDN w:val="0"/>
        <w:adjustRightInd w:val="0"/>
        <w:snapToGrid w:val="0"/>
        <w:spacing w:line="570" w:lineRule="exact"/>
        <w:rPr>
          <w:rFonts w:ascii="仿宋_GB2312" w:hAnsi="Times New Roman" w:eastAsia="仿宋_GB2312"/>
          <w:kern w:val="0"/>
          <w:sz w:val="32"/>
          <w:szCs w:val="32"/>
        </w:rPr>
      </w:pPr>
      <w:r>
        <w:rPr>
          <w:rFonts w:hint="eastAsia" w:ascii="仿宋_GB2312" w:hAnsi="Times New Roman" w:eastAsia="仿宋_GB2312"/>
          <w:kern w:val="0"/>
          <w:sz w:val="32"/>
          <w:szCs w:val="32"/>
        </w:rPr>
        <w:t xml:space="preserve">    1.</w:t>
      </w:r>
      <w:r>
        <w:rPr>
          <w:rFonts w:hint="eastAsia" w:ascii="仿宋_GB2312" w:hAnsi="仿宋_GB2312" w:eastAsia="仿宋_GB2312"/>
          <w:kern w:val="0"/>
          <w:sz w:val="32"/>
          <w:szCs w:val="32"/>
        </w:rPr>
        <w:t>初次申办者须提供</w:t>
      </w:r>
      <w:r>
        <w:rPr>
          <w:rFonts w:hint="eastAsia" w:ascii="仿宋_GB2312" w:hAnsi="Times New Roman" w:eastAsia="仿宋_GB2312"/>
          <w:sz w:val="32"/>
          <w:szCs w:val="32"/>
        </w:rPr>
        <w:t>医保定点医疗机构</w:t>
      </w:r>
      <w:r>
        <w:rPr>
          <w:rFonts w:hint="eastAsia" w:ascii="仿宋_GB2312" w:hAnsi="仿宋_GB2312" w:eastAsia="仿宋_GB2312"/>
          <w:kern w:val="0"/>
          <w:sz w:val="32"/>
          <w:szCs w:val="32"/>
        </w:rPr>
        <w:t>患者本人包含冠状动脉搭桥术手术记录在内的完整住院病历；</w:t>
      </w:r>
    </w:p>
    <w:p w14:paraId="70D44580">
      <w:pPr>
        <w:overflowPunct w:val="0"/>
        <w:autoSpaceDE w:val="0"/>
        <w:autoSpaceDN w:val="0"/>
        <w:adjustRightInd w:val="0"/>
        <w:snapToGrid w:val="0"/>
        <w:spacing w:line="570" w:lineRule="exact"/>
        <w:rPr>
          <w:rFonts w:ascii="仿宋_GB2312" w:hAnsi="Times New Roman" w:eastAsia="仿宋_GB2312"/>
          <w:kern w:val="0"/>
          <w:sz w:val="32"/>
          <w:szCs w:val="32"/>
        </w:rPr>
      </w:pPr>
      <w:r>
        <w:rPr>
          <w:rFonts w:hint="eastAsia" w:ascii="仿宋_GB2312" w:hAnsi="Times New Roman" w:eastAsia="仿宋_GB2312"/>
          <w:kern w:val="0"/>
          <w:sz w:val="32"/>
          <w:szCs w:val="32"/>
        </w:rPr>
        <w:t xml:space="preserve">    2.</w:t>
      </w:r>
      <w:r>
        <w:rPr>
          <w:rFonts w:hint="eastAsia" w:ascii="仿宋_GB2312" w:hAnsi="仿宋_GB2312" w:eastAsia="仿宋_GB2312"/>
          <w:kern w:val="0"/>
          <w:sz w:val="32"/>
          <w:szCs w:val="32"/>
        </w:rPr>
        <w:t>有关临床辅助检查及治疗经过资料；</w:t>
      </w:r>
    </w:p>
    <w:p w14:paraId="6E835681">
      <w:pPr>
        <w:overflowPunct w:val="0"/>
        <w:autoSpaceDE w:val="0"/>
        <w:autoSpaceDN w:val="0"/>
        <w:adjustRightInd w:val="0"/>
        <w:snapToGrid w:val="0"/>
        <w:spacing w:line="570" w:lineRule="exact"/>
        <w:rPr>
          <w:rFonts w:ascii="仿宋_GB2312" w:hAnsi="Times New Roman" w:eastAsia="仿宋_GB2312"/>
          <w:kern w:val="0"/>
          <w:sz w:val="32"/>
          <w:szCs w:val="32"/>
        </w:rPr>
      </w:pPr>
      <w:r>
        <w:rPr>
          <w:rFonts w:hint="eastAsia" w:ascii="仿宋_GB2312" w:hAnsi="Times New Roman" w:eastAsia="仿宋_GB2312"/>
          <w:kern w:val="0"/>
          <w:sz w:val="32"/>
          <w:szCs w:val="32"/>
        </w:rPr>
        <w:t xml:space="preserve">    3.</w:t>
      </w:r>
      <w:r>
        <w:rPr>
          <w:rFonts w:hint="eastAsia" w:ascii="仿宋_GB2312" w:hAnsi="Times New Roman" w:eastAsia="仿宋_GB2312"/>
          <w:sz w:val="32"/>
          <w:szCs w:val="32"/>
        </w:rPr>
        <w:t>医保定点医疗机构</w:t>
      </w:r>
      <w:r>
        <w:rPr>
          <w:rFonts w:hint="eastAsia" w:ascii="仿宋_GB2312" w:hAnsi="仿宋_GB2312" w:eastAsia="仿宋_GB2312"/>
          <w:kern w:val="0"/>
          <w:sz w:val="32"/>
          <w:szCs w:val="32"/>
        </w:rPr>
        <w:t>专科主治医师以上（含主治医师）签名的治疗计划。</w:t>
      </w:r>
    </w:p>
    <w:p w14:paraId="57A966B6">
      <w:pPr>
        <w:overflowPunct w:val="0"/>
        <w:autoSpaceDE w:val="0"/>
        <w:autoSpaceDN w:val="0"/>
        <w:adjustRightInd w:val="0"/>
        <w:snapToGrid w:val="0"/>
        <w:spacing w:line="570" w:lineRule="exact"/>
        <w:ind w:firstLine="640" w:firstLineChars="200"/>
        <w:rPr>
          <w:rFonts w:ascii="楷体_GB2312" w:hAnsi="Times New Roman" w:eastAsia="楷体_GB2312"/>
          <w:bCs/>
          <w:sz w:val="32"/>
          <w:szCs w:val="32"/>
        </w:rPr>
      </w:pPr>
      <w:r>
        <w:rPr>
          <w:rFonts w:hint="eastAsia" w:ascii="楷体_GB2312" w:hAnsi="Times New Roman" w:eastAsia="楷体_GB2312"/>
          <w:bCs/>
          <w:sz w:val="32"/>
          <w:szCs w:val="32"/>
        </w:rPr>
        <w:t>（二）治疗指征（认定标准）</w:t>
      </w:r>
    </w:p>
    <w:p w14:paraId="35C525E0">
      <w:pPr>
        <w:overflowPunct w:val="0"/>
        <w:autoSpaceDE w:val="0"/>
        <w:autoSpaceDN w:val="0"/>
        <w:adjustRightInd w:val="0"/>
        <w:snapToGrid w:val="0"/>
        <w:spacing w:line="570" w:lineRule="exact"/>
        <w:ind w:firstLine="640"/>
        <w:rPr>
          <w:rFonts w:ascii="仿宋_GB2312" w:hAnsi="Times New Roman" w:eastAsia="仿宋_GB2312"/>
          <w:kern w:val="0"/>
          <w:sz w:val="32"/>
          <w:szCs w:val="32"/>
        </w:rPr>
      </w:pPr>
      <w:r>
        <w:rPr>
          <w:rFonts w:hint="eastAsia" w:ascii="仿宋_GB2312" w:hAnsi="仿宋_GB2312" w:eastAsia="仿宋_GB2312"/>
          <w:kern w:val="0"/>
          <w:sz w:val="32"/>
          <w:szCs w:val="32"/>
        </w:rPr>
        <w:t>同时符合下列两项：</w:t>
      </w:r>
    </w:p>
    <w:p w14:paraId="53EBAEB5">
      <w:pPr>
        <w:overflowPunct w:val="0"/>
        <w:autoSpaceDE w:val="0"/>
        <w:autoSpaceDN w:val="0"/>
        <w:adjustRightInd w:val="0"/>
        <w:snapToGrid w:val="0"/>
        <w:spacing w:line="570" w:lineRule="exact"/>
        <w:rPr>
          <w:rFonts w:ascii="仿宋_GB2312" w:hAnsi="Times New Roman" w:eastAsia="仿宋_GB2312"/>
          <w:kern w:val="0"/>
          <w:sz w:val="32"/>
          <w:szCs w:val="32"/>
        </w:rPr>
      </w:pPr>
      <w:r>
        <w:rPr>
          <w:rFonts w:hint="eastAsia" w:ascii="仿宋_GB2312" w:hAnsi="Times New Roman" w:eastAsia="仿宋_GB2312"/>
          <w:kern w:val="0"/>
          <w:sz w:val="32"/>
          <w:szCs w:val="32"/>
        </w:rPr>
        <w:t xml:space="preserve">    1.</w:t>
      </w:r>
      <w:r>
        <w:rPr>
          <w:rFonts w:hint="eastAsia" w:ascii="仿宋_GB2312" w:hAnsi="仿宋_GB2312" w:eastAsia="仿宋_GB2312"/>
          <w:kern w:val="0"/>
          <w:sz w:val="32"/>
          <w:szCs w:val="32"/>
        </w:rPr>
        <w:t>必须有冠状动脉造影或者冠状动脉</w:t>
      </w:r>
      <w:r>
        <w:rPr>
          <w:rFonts w:hint="eastAsia" w:ascii="仿宋_GB2312" w:hAnsi="Times New Roman" w:eastAsia="仿宋_GB2312"/>
          <w:kern w:val="0"/>
          <w:sz w:val="32"/>
          <w:szCs w:val="32"/>
        </w:rPr>
        <w:t xml:space="preserve">CTA </w:t>
      </w:r>
      <w:r>
        <w:rPr>
          <w:rFonts w:hint="eastAsia" w:ascii="仿宋_GB2312" w:hAnsi="仿宋_GB2312" w:eastAsia="仿宋_GB2312"/>
          <w:kern w:val="0"/>
          <w:sz w:val="32"/>
          <w:szCs w:val="32"/>
        </w:rPr>
        <w:t>证实的冠状动脉狭窄</w:t>
      </w:r>
      <w:r>
        <w:rPr>
          <w:rFonts w:hint="eastAsia" w:ascii="仿宋_GB2312" w:hAnsi="Times New Roman" w:eastAsia="仿宋_GB2312"/>
          <w:kern w:val="0"/>
          <w:sz w:val="32"/>
          <w:szCs w:val="32"/>
        </w:rPr>
        <w:t>≥50%</w:t>
      </w:r>
      <w:r>
        <w:rPr>
          <w:rFonts w:hint="eastAsia" w:ascii="仿宋_GB2312" w:hAnsi="仿宋_GB2312" w:eastAsia="仿宋_GB2312"/>
          <w:kern w:val="0"/>
          <w:sz w:val="32"/>
          <w:szCs w:val="32"/>
        </w:rPr>
        <w:t>；或者有核医学检查证实的心肌缺血；</w:t>
      </w:r>
    </w:p>
    <w:p w14:paraId="2B4DE0B5">
      <w:pPr>
        <w:overflowPunct w:val="0"/>
        <w:autoSpaceDE w:val="0"/>
        <w:autoSpaceDN w:val="0"/>
        <w:adjustRightInd w:val="0"/>
        <w:snapToGrid w:val="0"/>
        <w:spacing w:line="570" w:lineRule="exact"/>
        <w:rPr>
          <w:rFonts w:ascii="仿宋_GB2312" w:hAnsi="Times New Roman" w:eastAsia="仿宋_GB2312"/>
          <w:kern w:val="0"/>
          <w:sz w:val="32"/>
          <w:szCs w:val="32"/>
        </w:rPr>
      </w:pPr>
      <w:r>
        <w:rPr>
          <w:rFonts w:hint="eastAsia" w:ascii="仿宋_GB2312" w:hAnsi="Times New Roman" w:eastAsia="仿宋_GB2312"/>
          <w:kern w:val="0"/>
          <w:sz w:val="32"/>
          <w:szCs w:val="32"/>
        </w:rPr>
        <w:t xml:space="preserve">    2.</w:t>
      </w:r>
      <w:r>
        <w:rPr>
          <w:rFonts w:hint="eastAsia" w:ascii="仿宋_GB2312" w:hAnsi="仿宋_GB2312" w:eastAsia="仿宋_GB2312"/>
          <w:kern w:val="0"/>
          <w:sz w:val="32"/>
          <w:szCs w:val="32"/>
        </w:rPr>
        <w:t>有冠状动脉搭桥术病史。</w:t>
      </w:r>
    </w:p>
    <w:p w14:paraId="79A690C9">
      <w:pPr>
        <w:overflowPunct w:val="0"/>
        <w:autoSpaceDE w:val="0"/>
        <w:autoSpaceDN w:val="0"/>
        <w:adjustRightInd w:val="0"/>
        <w:snapToGrid w:val="0"/>
        <w:spacing w:line="570" w:lineRule="exact"/>
        <w:ind w:firstLine="640" w:firstLineChars="200"/>
        <w:rPr>
          <w:rFonts w:ascii="楷体_GB2312" w:hAnsi="Times New Roman" w:eastAsia="楷体_GB2312"/>
          <w:bCs/>
          <w:sz w:val="32"/>
          <w:szCs w:val="32"/>
        </w:rPr>
      </w:pPr>
      <w:r>
        <w:rPr>
          <w:rFonts w:hint="eastAsia" w:ascii="楷体_GB2312" w:hAnsi="Times New Roman" w:eastAsia="楷体_GB2312"/>
          <w:bCs/>
          <w:sz w:val="32"/>
          <w:szCs w:val="32"/>
        </w:rPr>
        <w:t>（三）门诊诊疗范围</w:t>
      </w:r>
    </w:p>
    <w:p w14:paraId="65DDDDF3">
      <w:pPr>
        <w:overflowPunct w:val="0"/>
        <w:autoSpaceDE w:val="0"/>
        <w:autoSpaceDN w:val="0"/>
        <w:adjustRightInd w:val="0"/>
        <w:snapToGrid w:val="0"/>
        <w:spacing w:line="570" w:lineRule="exact"/>
        <w:rPr>
          <w:rFonts w:ascii="仿宋_GB2312" w:hAnsi="Times New Roman" w:eastAsia="仿宋_GB2312"/>
          <w:kern w:val="0"/>
          <w:sz w:val="32"/>
          <w:szCs w:val="32"/>
        </w:rPr>
      </w:pPr>
      <w:r>
        <w:rPr>
          <w:rFonts w:hint="eastAsia" w:ascii="仿宋_GB2312" w:hAnsi="Times New Roman" w:eastAsia="仿宋_GB2312"/>
          <w:kern w:val="0"/>
          <w:sz w:val="32"/>
          <w:szCs w:val="32"/>
        </w:rPr>
        <w:t xml:space="preserve">    </w:t>
      </w:r>
      <w:r>
        <w:rPr>
          <w:rFonts w:hint="eastAsia" w:ascii="仿宋_GB2312" w:hAnsi="仿宋_GB2312" w:eastAsia="仿宋_GB2312"/>
          <w:kern w:val="0"/>
          <w:sz w:val="32"/>
          <w:szCs w:val="32"/>
        </w:rPr>
        <w:t>调脂治疗、抗血小板治疗、抗心律失常治疗、抗心力衰竭以及与该心脏病相关的治疗；治疗期间及治疗前后的相关检查。</w:t>
      </w:r>
    </w:p>
    <w:p w14:paraId="71AADBEA">
      <w:pPr>
        <w:overflowPunct w:val="0"/>
        <w:autoSpaceDE w:val="0"/>
        <w:autoSpaceDN w:val="0"/>
        <w:adjustRightInd w:val="0"/>
        <w:snapToGrid w:val="0"/>
        <w:spacing w:line="570" w:lineRule="exact"/>
        <w:ind w:firstLine="640" w:firstLineChars="200"/>
        <w:rPr>
          <w:rFonts w:ascii="楷体_GB2312" w:hAnsi="Times New Roman" w:eastAsia="楷体_GB2312"/>
          <w:bCs/>
          <w:sz w:val="32"/>
          <w:szCs w:val="32"/>
        </w:rPr>
      </w:pPr>
      <w:r>
        <w:rPr>
          <w:rFonts w:hint="eastAsia" w:ascii="楷体_GB2312" w:hAnsi="Times New Roman" w:eastAsia="楷体_GB2312"/>
          <w:bCs/>
          <w:sz w:val="32"/>
          <w:szCs w:val="32"/>
        </w:rPr>
        <w:t>（四）复审期限</w:t>
      </w:r>
    </w:p>
    <w:p w14:paraId="616329F1">
      <w:pPr>
        <w:pStyle w:val="12"/>
        <w:widowControl w:val="0"/>
        <w:overflowPunct w:val="0"/>
        <w:autoSpaceDE w:val="0"/>
        <w:autoSpaceDN w:val="0"/>
        <w:adjustRightInd w:val="0"/>
        <w:snapToGrid w:val="0"/>
        <w:spacing w:line="570" w:lineRule="exact"/>
        <w:jc w:val="both"/>
        <w:rPr>
          <w:rFonts w:ascii="仿宋_GB2312" w:hAnsi="Times New Roman" w:eastAsia="仿宋_GB2312"/>
          <w:bCs/>
          <w:sz w:val="32"/>
          <w:szCs w:val="32"/>
        </w:rPr>
      </w:pPr>
      <w:r>
        <w:rPr>
          <w:rFonts w:hint="eastAsia" w:ascii="仿宋_GB2312" w:hAnsi="Times New Roman" w:eastAsia="仿宋_GB2312"/>
          <w:bCs/>
          <w:sz w:val="32"/>
          <w:szCs w:val="32"/>
        </w:rPr>
        <w:t xml:space="preserve">   </w:t>
      </w:r>
      <w:r>
        <w:rPr>
          <w:rFonts w:hint="eastAsia" w:ascii="仿宋_GB2312" w:hAnsi="仿宋_GB2312" w:eastAsia="仿宋_GB2312"/>
          <w:bCs/>
          <w:sz w:val="32"/>
          <w:szCs w:val="32"/>
        </w:rPr>
        <w:t>每</w:t>
      </w:r>
      <w:r>
        <w:rPr>
          <w:rFonts w:hint="eastAsia" w:ascii="仿宋_GB2312" w:hAnsi="Times New Roman" w:eastAsia="仿宋_GB2312"/>
          <w:bCs/>
          <w:sz w:val="32"/>
          <w:szCs w:val="32"/>
        </w:rPr>
        <w:t>5</w:t>
      </w:r>
      <w:r>
        <w:rPr>
          <w:rFonts w:hint="eastAsia" w:ascii="仿宋_GB2312" w:hAnsi="仿宋_GB2312" w:eastAsia="仿宋_GB2312"/>
          <w:bCs/>
          <w:sz w:val="32"/>
          <w:szCs w:val="32"/>
        </w:rPr>
        <w:t>年复审一次。</w:t>
      </w:r>
    </w:p>
    <w:p w14:paraId="7554F46F">
      <w:pPr>
        <w:pStyle w:val="12"/>
        <w:widowControl w:val="0"/>
        <w:overflowPunct w:val="0"/>
        <w:autoSpaceDE w:val="0"/>
        <w:autoSpaceDN w:val="0"/>
        <w:adjustRightInd w:val="0"/>
        <w:snapToGrid w:val="0"/>
        <w:spacing w:line="570" w:lineRule="exact"/>
        <w:ind w:firstLine="0"/>
        <w:jc w:val="both"/>
        <w:rPr>
          <w:rFonts w:ascii="黑体" w:hAnsi="黑体" w:eastAsia="黑体"/>
          <w:sz w:val="32"/>
          <w:szCs w:val="32"/>
        </w:rPr>
      </w:pPr>
      <w:r>
        <w:rPr>
          <w:rFonts w:hint="eastAsia" w:ascii="仿宋_GB2312" w:hAnsi="Times New Roman" w:eastAsia="仿宋_GB2312"/>
          <w:sz w:val="32"/>
          <w:szCs w:val="32"/>
        </w:rPr>
        <w:t xml:space="preserve">   </w:t>
      </w:r>
      <w:r>
        <w:rPr>
          <w:rFonts w:hint="eastAsia" w:ascii="黑体" w:hAnsi="黑体" w:eastAsia="黑体"/>
          <w:sz w:val="32"/>
          <w:szCs w:val="32"/>
        </w:rPr>
        <w:t xml:space="preserve"> 二十六、具有其他心脏瓣膜置换</w:t>
      </w:r>
    </w:p>
    <w:p w14:paraId="173F9A18">
      <w:pPr>
        <w:overflowPunct w:val="0"/>
        <w:autoSpaceDE w:val="0"/>
        <w:autoSpaceDN w:val="0"/>
        <w:adjustRightInd w:val="0"/>
        <w:snapToGrid w:val="0"/>
        <w:spacing w:line="570" w:lineRule="exact"/>
        <w:ind w:firstLine="640" w:firstLineChars="200"/>
        <w:rPr>
          <w:rFonts w:ascii="楷体_GB2312" w:hAnsi="Times New Roman" w:eastAsia="楷体_GB2312"/>
          <w:bCs/>
          <w:sz w:val="32"/>
          <w:szCs w:val="32"/>
        </w:rPr>
      </w:pPr>
      <w:r>
        <w:rPr>
          <w:rFonts w:hint="eastAsia" w:ascii="楷体_GB2312" w:hAnsi="Times New Roman" w:eastAsia="楷体_GB2312"/>
          <w:bCs/>
          <w:sz w:val="32"/>
          <w:szCs w:val="32"/>
        </w:rPr>
        <w:t>（一）申报资料</w:t>
      </w:r>
    </w:p>
    <w:p w14:paraId="09A75D66">
      <w:pPr>
        <w:overflowPunct w:val="0"/>
        <w:autoSpaceDE w:val="0"/>
        <w:autoSpaceDN w:val="0"/>
        <w:adjustRightInd w:val="0"/>
        <w:snapToGrid w:val="0"/>
        <w:spacing w:line="570" w:lineRule="exact"/>
        <w:rPr>
          <w:rFonts w:ascii="仿宋_GB2312" w:hAnsi="Times New Roman" w:eastAsia="仿宋_GB2312"/>
          <w:kern w:val="0"/>
          <w:sz w:val="32"/>
          <w:szCs w:val="32"/>
        </w:rPr>
      </w:pPr>
      <w:r>
        <w:rPr>
          <w:rFonts w:hint="eastAsia" w:ascii="仿宋_GB2312" w:hAnsi="Times New Roman" w:eastAsia="仿宋_GB2312"/>
          <w:kern w:val="0"/>
          <w:sz w:val="32"/>
          <w:szCs w:val="32"/>
        </w:rPr>
        <w:t xml:space="preserve">    1.</w:t>
      </w:r>
      <w:r>
        <w:rPr>
          <w:rFonts w:hint="eastAsia" w:ascii="仿宋_GB2312" w:hAnsi="仿宋_GB2312" w:eastAsia="仿宋_GB2312"/>
          <w:kern w:val="0"/>
          <w:sz w:val="32"/>
          <w:szCs w:val="32"/>
        </w:rPr>
        <w:t>初次申办者须提供</w:t>
      </w:r>
      <w:r>
        <w:rPr>
          <w:rFonts w:hint="eastAsia" w:ascii="仿宋_GB2312" w:hAnsi="Times New Roman" w:eastAsia="仿宋_GB2312"/>
          <w:sz w:val="32"/>
          <w:szCs w:val="32"/>
        </w:rPr>
        <w:t>医保定点医疗机构</w:t>
      </w:r>
      <w:r>
        <w:rPr>
          <w:rFonts w:hint="eastAsia" w:ascii="仿宋_GB2312" w:hAnsi="仿宋_GB2312" w:eastAsia="仿宋_GB2312"/>
          <w:kern w:val="0"/>
          <w:sz w:val="32"/>
          <w:szCs w:val="32"/>
        </w:rPr>
        <w:t>患者本人包含心瓣膜置换手术记录在内的完整住院病历；续办者原则上要求提供手术记录在内的住院病历，如因特殊原因无住院病历者，须提供患者本人近三个月的心脏彩超检查单及购药处方、清单、发票，并加盖医院公章；</w:t>
      </w:r>
    </w:p>
    <w:p w14:paraId="3BFAC95F">
      <w:pPr>
        <w:overflowPunct w:val="0"/>
        <w:autoSpaceDE w:val="0"/>
        <w:autoSpaceDN w:val="0"/>
        <w:adjustRightInd w:val="0"/>
        <w:snapToGrid w:val="0"/>
        <w:spacing w:line="570" w:lineRule="exact"/>
        <w:rPr>
          <w:rFonts w:ascii="仿宋_GB2312" w:hAnsi="Times New Roman" w:eastAsia="仿宋_GB2312"/>
          <w:kern w:val="0"/>
          <w:sz w:val="32"/>
          <w:szCs w:val="32"/>
        </w:rPr>
      </w:pPr>
      <w:r>
        <w:rPr>
          <w:rFonts w:hint="eastAsia" w:ascii="仿宋_GB2312" w:hAnsi="Times New Roman" w:eastAsia="仿宋_GB2312"/>
          <w:kern w:val="0"/>
          <w:sz w:val="32"/>
          <w:szCs w:val="32"/>
        </w:rPr>
        <w:t xml:space="preserve">    2.</w:t>
      </w:r>
      <w:r>
        <w:rPr>
          <w:rFonts w:hint="eastAsia" w:ascii="仿宋_GB2312" w:hAnsi="仿宋_GB2312" w:eastAsia="仿宋_GB2312"/>
          <w:kern w:val="0"/>
          <w:sz w:val="32"/>
          <w:szCs w:val="32"/>
        </w:rPr>
        <w:t>有关临床辅助检查及治疗经过资料；</w:t>
      </w:r>
    </w:p>
    <w:p w14:paraId="2F476780">
      <w:pPr>
        <w:overflowPunct w:val="0"/>
        <w:autoSpaceDE w:val="0"/>
        <w:autoSpaceDN w:val="0"/>
        <w:adjustRightInd w:val="0"/>
        <w:snapToGrid w:val="0"/>
        <w:spacing w:line="570" w:lineRule="exact"/>
        <w:rPr>
          <w:rFonts w:ascii="仿宋_GB2312" w:hAnsi="Times New Roman" w:eastAsia="仿宋_GB2312"/>
          <w:kern w:val="0"/>
          <w:sz w:val="32"/>
          <w:szCs w:val="32"/>
        </w:rPr>
      </w:pPr>
      <w:r>
        <w:rPr>
          <w:rFonts w:hint="eastAsia" w:ascii="仿宋_GB2312" w:hAnsi="Times New Roman" w:eastAsia="仿宋_GB2312"/>
          <w:kern w:val="0"/>
          <w:sz w:val="32"/>
          <w:szCs w:val="32"/>
        </w:rPr>
        <w:t xml:space="preserve">    3.</w:t>
      </w:r>
      <w:r>
        <w:rPr>
          <w:rFonts w:hint="eastAsia" w:ascii="仿宋_GB2312" w:hAnsi="仿宋_GB2312" w:eastAsia="仿宋_GB2312"/>
          <w:kern w:val="0"/>
          <w:sz w:val="32"/>
          <w:szCs w:val="32"/>
        </w:rPr>
        <w:t>有显示瓣膜置换的影像学资料；</w:t>
      </w:r>
    </w:p>
    <w:p w14:paraId="5EAA2E94">
      <w:pPr>
        <w:pStyle w:val="11"/>
        <w:overflowPunct w:val="0"/>
        <w:autoSpaceDE w:val="0"/>
        <w:autoSpaceDN w:val="0"/>
        <w:adjustRightInd w:val="0"/>
        <w:snapToGrid w:val="0"/>
        <w:spacing w:after="0" w:line="570" w:lineRule="exact"/>
        <w:ind w:firstLine="0" w:firstLineChars="0"/>
        <w:rPr>
          <w:rFonts w:ascii="仿宋_GB2312" w:hAnsi="Times New Roman" w:eastAsia="仿宋_GB2312"/>
          <w:kern w:val="0"/>
          <w:sz w:val="32"/>
          <w:szCs w:val="32"/>
        </w:rPr>
      </w:pPr>
      <w:r>
        <w:rPr>
          <w:rFonts w:hint="eastAsia" w:ascii="仿宋_GB2312" w:hAnsi="Times New Roman" w:eastAsia="仿宋_GB2312"/>
          <w:kern w:val="0"/>
          <w:sz w:val="32"/>
          <w:szCs w:val="32"/>
        </w:rPr>
        <w:t xml:space="preserve">    4.</w:t>
      </w:r>
      <w:r>
        <w:rPr>
          <w:rFonts w:hint="eastAsia" w:ascii="仿宋_GB2312" w:hAnsi="Times New Roman" w:eastAsia="仿宋_GB2312"/>
          <w:sz w:val="32"/>
          <w:szCs w:val="32"/>
        </w:rPr>
        <w:t>医保定点医疗机构</w:t>
      </w:r>
      <w:r>
        <w:rPr>
          <w:rFonts w:hint="eastAsia" w:ascii="仿宋_GB2312" w:hAnsi="仿宋_GB2312" w:eastAsia="仿宋_GB2312"/>
          <w:kern w:val="0"/>
          <w:sz w:val="32"/>
          <w:szCs w:val="32"/>
        </w:rPr>
        <w:t>专科主治医师以上（含主治医师）签名的治疗计划。</w:t>
      </w:r>
    </w:p>
    <w:p w14:paraId="2381E140">
      <w:pPr>
        <w:overflowPunct w:val="0"/>
        <w:autoSpaceDE w:val="0"/>
        <w:autoSpaceDN w:val="0"/>
        <w:adjustRightInd w:val="0"/>
        <w:snapToGrid w:val="0"/>
        <w:spacing w:line="570" w:lineRule="exact"/>
        <w:ind w:firstLine="640" w:firstLineChars="200"/>
        <w:rPr>
          <w:rFonts w:ascii="楷体_GB2312" w:hAnsi="Times New Roman" w:eastAsia="楷体_GB2312"/>
          <w:bCs/>
          <w:sz w:val="32"/>
          <w:szCs w:val="32"/>
        </w:rPr>
      </w:pPr>
      <w:r>
        <w:rPr>
          <w:rFonts w:hint="eastAsia" w:ascii="楷体_GB2312" w:hAnsi="Times New Roman" w:eastAsia="楷体_GB2312"/>
          <w:bCs/>
          <w:sz w:val="32"/>
          <w:szCs w:val="32"/>
        </w:rPr>
        <w:t>（二）治疗指征（认定标准）</w:t>
      </w:r>
    </w:p>
    <w:p w14:paraId="0E9F1C71">
      <w:pPr>
        <w:overflowPunct w:val="0"/>
        <w:autoSpaceDE w:val="0"/>
        <w:autoSpaceDN w:val="0"/>
        <w:adjustRightInd w:val="0"/>
        <w:snapToGrid w:val="0"/>
        <w:spacing w:line="570" w:lineRule="exact"/>
        <w:rPr>
          <w:rFonts w:ascii="仿宋_GB2312" w:hAnsi="Times New Roman" w:eastAsia="仿宋_GB2312"/>
          <w:kern w:val="0"/>
          <w:sz w:val="32"/>
          <w:szCs w:val="32"/>
        </w:rPr>
      </w:pPr>
      <w:r>
        <w:rPr>
          <w:rFonts w:hint="eastAsia" w:ascii="仿宋_GB2312" w:hAnsi="Times New Roman" w:eastAsia="仿宋_GB2312"/>
          <w:kern w:val="0"/>
          <w:sz w:val="32"/>
          <w:szCs w:val="32"/>
        </w:rPr>
        <w:t xml:space="preserve">    1.</w:t>
      </w:r>
      <w:r>
        <w:rPr>
          <w:rFonts w:hint="eastAsia" w:ascii="仿宋_GB2312" w:hAnsi="仿宋_GB2312" w:eastAsia="仿宋_GB2312"/>
          <w:kern w:val="0"/>
          <w:sz w:val="32"/>
          <w:szCs w:val="32"/>
        </w:rPr>
        <w:t>有瓣膜病影像资料；</w:t>
      </w:r>
    </w:p>
    <w:p w14:paraId="70E8FC0A">
      <w:pPr>
        <w:overflowPunct w:val="0"/>
        <w:autoSpaceDE w:val="0"/>
        <w:autoSpaceDN w:val="0"/>
        <w:adjustRightInd w:val="0"/>
        <w:snapToGrid w:val="0"/>
        <w:spacing w:line="570" w:lineRule="exact"/>
        <w:ind w:firstLine="640"/>
        <w:rPr>
          <w:rFonts w:ascii="仿宋_GB2312" w:hAnsi="Times New Roman" w:eastAsia="仿宋_GB2312"/>
          <w:kern w:val="0"/>
          <w:sz w:val="32"/>
          <w:szCs w:val="32"/>
        </w:rPr>
      </w:pPr>
      <w:r>
        <w:rPr>
          <w:rFonts w:hint="eastAsia" w:ascii="仿宋_GB2312" w:hAnsi="Times New Roman" w:eastAsia="仿宋_GB2312"/>
          <w:kern w:val="0"/>
          <w:sz w:val="32"/>
          <w:szCs w:val="32"/>
        </w:rPr>
        <w:t>2.</w:t>
      </w:r>
      <w:r>
        <w:rPr>
          <w:rFonts w:hint="eastAsia" w:ascii="仿宋_GB2312" w:hAnsi="仿宋_GB2312" w:eastAsia="仿宋_GB2312"/>
          <w:kern w:val="0"/>
          <w:sz w:val="32"/>
          <w:szCs w:val="32"/>
        </w:rPr>
        <w:t>有心脏瓣膜置换病史；</w:t>
      </w:r>
    </w:p>
    <w:p w14:paraId="5DA35886">
      <w:pPr>
        <w:overflowPunct w:val="0"/>
        <w:autoSpaceDE w:val="0"/>
        <w:autoSpaceDN w:val="0"/>
        <w:adjustRightInd w:val="0"/>
        <w:snapToGrid w:val="0"/>
        <w:spacing w:line="570" w:lineRule="exact"/>
        <w:ind w:firstLine="640"/>
        <w:rPr>
          <w:rFonts w:ascii="仿宋_GB2312" w:hAnsi="Times New Roman" w:eastAsia="仿宋_GB2312"/>
          <w:kern w:val="0"/>
          <w:sz w:val="32"/>
          <w:szCs w:val="32"/>
        </w:rPr>
      </w:pPr>
      <w:r>
        <w:rPr>
          <w:rFonts w:hint="eastAsia" w:ascii="仿宋_GB2312" w:hAnsi="Times New Roman" w:eastAsia="仿宋_GB2312"/>
          <w:kern w:val="0"/>
          <w:sz w:val="32"/>
          <w:szCs w:val="32"/>
        </w:rPr>
        <w:t>3.</w:t>
      </w:r>
      <w:r>
        <w:rPr>
          <w:rFonts w:hint="eastAsia" w:ascii="仿宋_GB2312" w:hAnsi="仿宋_GB2312" w:eastAsia="仿宋_GB2312"/>
          <w:kern w:val="0"/>
          <w:sz w:val="32"/>
          <w:szCs w:val="32"/>
        </w:rPr>
        <w:t>有经导管瓣膜置入术史。</w:t>
      </w:r>
    </w:p>
    <w:p w14:paraId="0CD1447C">
      <w:pPr>
        <w:overflowPunct w:val="0"/>
        <w:autoSpaceDE w:val="0"/>
        <w:autoSpaceDN w:val="0"/>
        <w:adjustRightInd w:val="0"/>
        <w:snapToGrid w:val="0"/>
        <w:spacing w:line="570" w:lineRule="exact"/>
        <w:ind w:firstLine="640" w:firstLineChars="200"/>
        <w:rPr>
          <w:rFonts w:ascii="楷体_GB2312" w:hAnsi="Times New Roman" w:eastAsia="楷体_GB2312"/>
          <w:bCs/>
          <w:sz w:val="32"/>
          <w:szCs w:val="32"/>
        </w:rPr>
      </w:pPr>
      <w:r>
        <w:rPr>
          <w:rFonts w:hint="eastAsia" w:ascii="楷体_GB2312" w:hAnsi="Times New Roman" w:eastAsia="楷体_GB2312"/>
          <w:bCs/>
          <w:sz w:val="32"/>
          <w:szCs w:val="32"/>
        </w:rPr>
        <w:t>（三）门诊诊疗范围</w:t>
      </w:r>
    </w:p>
    <w:p w14:paraId="75EA893C">
      <w:pPr>
        <w:overflowPunct w:val="0"/>
        <w:autoSpaceDE w:val="0"/>
        <w:autoSpaceDN w:val="0"/>
        <w:adjustRightInd w:val="0"/>
        <w:snapToGrid w:val="0"/>
        <w:spacing w:line="570" w:lineRule="exact"/>
        <w:rPr>
          <w:rFonts w:ascii="仿宋_GB2312" w:hAnsi="Times New Roman" w:eastAsia="仿宋_GB2312"/>
          <w:kern w:val="0"/>
          <w:sz w:val="32"/>
          <w:szCs w:val="32"/>
        </w:rPr>
      </w:pPr>
      <w:r>
        <w:rPr>
          <w:rFonts w:hint="eastAsia" w:ascii="仿宋_GB2312" w:hAnsi="Times New Roman" w:eastAsia="仿宋_GB2312"/>
          <w:bCs/>
          <w:sz w:val="32"/>
          <w:szCs w:val="32"/>
        </w:rPr>
        <w:t xml:space="preserve">    1.</w:t>
      </w:r>
      <w:r>
        <w:rPr>
          <w:rFonts w:hint="eastAsia" w:ascii="仿宋_GB2312" w:hAnsi="仿宋_GB2312" w:eastAsia="仿宋_GB2312"/>
          <w:kern w:val="0"/>
          <w:sz w:val="32"/>
          <w:szCs w:val="32"/>
        </w:rPr>
        <w:t>抗凝、抗血小板、抗心力衰竭和心律失常治疗；</w:t>
      </w:r>
    </w:p>
    <w:p w14:paraId="5E237C4B">
      <w:pPr>
        <w:overflowPunct w:val="0"/>
        <w:autoSpaceDE w:val="0"/>
        <w:autoSpaceDN w:val="0"/>
        <w:adjustRightInd w:val="0"/>
        <w:snapToGrid w:val="0"/>
        <w:spacing w:line="570" w:lineRule="exact"/>
        <w:rPr>
          <w:rFonts w:ascii="仿宋_GB2312" w:hAnsi="Times New Roman" w:eastAsia="仿宋_GB2312"/>
          <w:kern w:val="0"/>
          <w:sz w:val="32"/>
          <w:szCs w:val="32"/>
        </w:rPr>
      </w:pPr>
      <w:r>
        <w:rPr>
          <w:rFonts w:hint="eastAsia" w:ascii="仿宋_GB2312" w:hAnsi="Times New Roman" w:eastAsia="仿宋_GB2312"/>
          <w:kern w:val="0"/>
          <w:sz w:val="32"/>
          <w:szCs w:val="32"/>
        </w:rPr>
        <w:t xml:space="preserve">    2.</w:t>
      </w:r>
      <w:r>
        <w:rPr>
          <w:rFonts w:hint="eastAsia" w:ascii="仿宋_GB2312" w:hAnsi="仿宋_GB2312" w:eastAsia="仿宋_GB2312"/>
          <w:kern w:val="0"/>
          <w:sz w:val="32"/>
          <w:szCs w:val="32"/>
        </w:rPr>
        <w:t>与该心脏病相关的治疗；</w:t>
      </w:r>
    </w:p>
    <w:p w14:paraId="6EA7B566">
      <w:pPr>
        <w:overflowPunct w:val="0"/>
        <w:autoSpaceDE w:val="0"/>
        <w:autoSpaceDN w:val="0"/>
        <w:adjustRightInd w:val="0"/>
        <w:snapToGrid w:val="0"/>
        <w:spacing w:line="570" w:lineRule="exact"/>
        <w:rPr>
          <w:rFonts w:ascii="仿宋_GB2312" w:hAnsi="Times New Roman" w:eastAsia="仿宋_GB2312"/>
          <w:kern w:val="0"/>
          <w:sz w:val="32"/>
          <w:szCs w:val="32"/>
        </w:rPr>
      </w:pPr>
      <w:r>
        <w:rPr>
          <w:rFonts w:hint="eastAsia" w:ascii="仿宋_GB2312" w:hAnsi="Times New Roman" w:eastAsia="仿宋_GB2312"/>
          <w:kern w:val="0"/>
          <w:sz w:val="32"/>
          <w:szCs w:val="32"/>
        </w:rPr>
        <w:t xml:space="preserve">    3.</w:t>
      </w:r>
      <w:r>
        <w:rPr>
          <w:rFonts w:hint="eastAsia" w:ascii="仿宋_GB2312" w:hAnsi="仿宋_GB2312" w:eastAsia="仿宋_GB2312"/>
          <w:kern w:val="0"/>
          <w:sz w:val="32"/>
          <w:szCs w:val="32"/>
        </w:rPr>
        <w:t>治疗期间及治疗前后的相关检查。</w:t>
      </w:r>
    </w:p>
    <w:p w14:paraId="35F562B0">
      <w:pPr>
        <w:overflowPunct w:val="0"/>
        <w:autoSpaceDE w:val="0"/>
        <w:autoSpaceDN w:val="0"/>
        <w:adjustRightInd w:val="0"/>
        <w:snapToGrid w:val="0"/>
        <w:spacing w:line="570" w:lineRule="exact"/>
        <w:ind w:firstLine="640" w:firstLineChars="200"/>
        <w:rPr>
          <w:rFonts w:ascii="楷体_GB2312" w:hAnsi="Times New Roman" w:eastAsia="楷体_GB2312"/>
          <w:bCs/>
          <w:sz w:val="32"/>
          <w:szCs w:val="32"/>
        </w:rPr>
      </w:pPr>
      <w:r>
        <w:rPr>
          <w:rFonts w:hint="eastAsia" w:ascii="楷体_GB2312" w:hAnsi="Times New Roman" w:eastAsia="楷体_GB2312"/>
          <w:bCs/>
          <w:sz w:val="32"/>
          <w:szCs w:val="32"/>
        </w:rPr>
        <w:t>（四）复审期限</w:t>
      </w:r>
    </w:p>
    <w:p w14:paraId="77A94BDC">
      <w:pPr>
        <w:overflowPunct w:val="0"/>
        <w:autoSpaceDE w:val="0"/>
        <w:autoSpaceDN w:val="0"/>
        <w:adjustRightInd w:val="0"/>
        <w:snapToGrid w:val="0"/>
        <w:spacing w:line="570" w:lineRule="exact"/>
        <w:rPr>
          <w:rFonts w:ascii="仿宋_GB2312" w:hAnsi="Times New Roman" w:eastAsia="仿宋_GB2312"/>
          <w:bCs/>
          <w:sz w:val="32"/>
          <w:szCs w:val="32"/>
        </w:rPr>
      </w:pPr>
      <w:r>
        <w:rPr>
          <w:rFonts w:hint="eastAsia" w:ascii="仿宋_GB2312" w:hAnsi="Times New Roman" w:eastAsia="仿宋_GB2312"/>
          <w:bCs/>
          <w:sz w:val="32"/>
          <w:szCs w:val="32"/>
        </w:rPr>
        <w:t xml:space="preserve">    </w:t>
      </w:r>
      <w:r>
        <w:rPr>
          <w:rFonts w:hint="eastAsia" w:ascii="仿宋_GB2312" w:hAnsi="仿宋_GB2312" w:eastAsia="仿宋_GB2312"/>
          <w:bCs/>
          <w:sz w:val="32"/>
          <w:szCs w:val="32"/>
        </w:rPr>
        <w:t>长期。</w:t>
      </w:r>
    </w:p>
    <w:p w14:paraId="558DC956">
      <w:pPr>
        <w:overflowPunct w:val="0"/>
        <w:autoSpaceDE w:val="0"/>
        <w:autoSpaceDN w:val="0"/>
        <w:adjustRightInd w:val="0"/>
        <w:snapToGrid w:val="0"/>
        <w:spacing w:line="570" w:lineRule="exact"/>
        <w:rPr>
          <w:rFonts w:ascii="黑体" w:hAnsi="黑体" w:eastAsia="黑体"/>
          <w:sz w:val="32"/>
          <w:szCs w:val="32"/>
        </w:rPr>
      </w:pPr>
      <w:r>
        <w:rPr>
          <w:rFonts w:hint="eastAsia" w:ascii="仿宋_GB2312" w:hAnsi="Times New Roman" w:eastAsia="仿宋_GB2312"/>
          <w:sz w:val="32"/>
          <w:szCs w:val="32"/>
        </w:rPr>
        <w:t xml:space="preserve">    </w:t>
      </w:r>
      <w:r>
        <w:rPr>
          <w:rFonts w:hint="eastAsia" w:ascii="黑体" w:hAnsi="黑体" w:eastAsia="黑体"/>
          <w:sz w:val="32"/>
          <w:szCs w:val="32"/>
        </w:rPr>
        <w:t>二十七、冠状动脉支架置入术后状态</w:t>
      </w:r>
    </w:p>
    <w:p w14:paraId="12E4F57E">
      <w:pPr>
        <w:overflowPunct w:val="0"/>
        <w:autoSpaceDE w:val="0"/>
        <w:autoSpaceDN w:val="0"/>
        <w:adjustRightInd w:val="0"/>
        <w:snapToGrid w:val="0"/>
        <w:spacing w:line="570" w:lineRule="exact"/>
        <w:ind w:firstLine="640" w:firstLineChars="200"/>
        <w:rPr>
          <w:rFonts w:ascii="楷体_GB2312" w:hAnsi="Times New Roman" w:eastAsia="楷体_GB2312"/>
          <w:bCs/>
          <w:sz w:val="32"/>
          <w:szCs w:val="32"/>
        </w:rPr>
      </w:pPr>
      <w:r>
        <w:rPr>
          <w:rFonts w:hint="eastAsia" w:ascii="楷体_GB2312" w:hAnsi="Times New Roman" w:eastAsia="楷体_GB2312"/>
          <w:bCs/>
          <w:sz w:val="32"/>
          <w:szCs w:val="32"/>
        </w:rPr>
        <w:t>（一）申报资料</w:t>
      </w:r>
    </w:p>
    <w:p w14:paraId="03A152A1">
      <w:pPr>
        <w:overflowPunct w:val="0"/>
        <w:autoSpaceDE w:val="0"/>
        <w:autoSpaceDN w:val="0"/>
        <w:adjustRightInd w:val="0"/>
        <w:snapToGrid w:val="0"/>
        <w:spacing w:line="570" w:lineRule="exact"/>
        <w:rPr>
          <w:rFonts w:ascii="仿宋_GB2312" w:hAnsi="Times New Roman" w:eastAsia="仿宋_GB2312"/>
          <w:kern w:val="0"/>
          <w:sz w:val="32"/>
          <w:szCs w:val="32"/>
        </w:rPr>
      </w:pPr>
      <w:r>
        <w:rPr>
          <w:rFonts w:hint="eastAsia" w:ascii="仿宋_GB2312" w:hAnsi="Times New Roman" w:eastAsia="仿宋_GB2312"/>
          <w:kern w:val="0"/>
          <w:sz w:val="32"/>
          <w:szCs w:val="32"/>
        </w:rPr>
        <w:t xml:space="preserve">    1.</w:t>
      </w:r>
      <w:r>
        <w:rPr>
          <w:rFonts w:hint="eastAsia" w:ascii="仿宋_GB2312" w:hAnsi="仿宋_GB2312" w:eastAsia="仿宋_GB2312"/>
          <w:kern w:val="0"/>
          <w:sz w:val="32"/>
          <w:szCs w:val="32"/>
        </w:rPr>
        <w:t>须提供</w:t>
      </w:r>
      <w:r>
        <w:rPr>
          <w:rFonts w:hint="eastAsia" w:ascii="仿宋_GB2312" w:hAnsi="Times New Roman" w:eastAsia="仿宋_GB2312"/>
          <w:sz w:val="32"/>
          <w:szCs w:val="32"/>
        </w:rPr>
        <w:t>医保定点医疗机构</w:t>
      </w:r>
      <w:r>
        <w:rPr>
          <w:rFonts w:hint="eastAsia" w:ascii="仿宋_GB2312" w:hAnsi="仿宋_GB2312" w:eastAsia="仿宋_GB2312"/>
          <w:kern w:val="0"/>
          <w:sz w:val="32"/>
          <w:szCs w:val="32"/>
        </w:rPr>
        <w:t>患者本人包含介入治疗手术记录在内的完整住院病历；</w:t>
      </w:r>
    </w:p>
    <w:p w14:paraId="7BFC9E69">
      <w:pPr>
        <w:overflowPunct w:val="0"/>
        <w:autoSpaceDE w:val="0"/>
        <w:autoSpaceDN w:val="0"/>
        <w:adjustRightInd w:val="0"/>
        <w:snapToGrid w:val="0"/>
        <w:spacing w:line="570" w:lineRule="exact"/>
        <w:rPr>
          <w:rFonts w:ascii="仿宋_GB2312" w:hAnsi="Times New Roman" w:eastAsia="仿宋_GB2312"/>
          <w:kern w:val="0"/>
          <w:sz w:val="32"/>
          <w:szCs w:val="32"/>
        </w:rPr>
      </w:pPr>
      <w:r>
        <w:rPr>
          <w:rFonts w:hint="eastAsia" w:ascii="仿宋_GB2312" w:hAnsi="Times New Roman" w:eastAsia="仿宋_GB2312"/>
          <w:kern w:val="0"/>
          <w:sz w:val="32"/>
          <w:szCs w:val="32"/>
        </w:rPr>
        <w:t xml:space="preserve">    2.</w:t>
      </w:r>
      <w:r>
        <w:rPr>
          <w:rFonts w:hint="eastAsia" w:ascii="仿宋_GB2312" w:hAnsi="仿宋_GB2312" w:eastAsia="仿宋_GB2312"/>
          <w:kern w:val="0"/>
          <w:sz w:val="32"/>
          <w:szCs w:val="32"/>
        </w:rPr>
        <w:t>有关临床辅助检查及治疗经过资料；</w:t>
      </w:r>
    </w:p>
    <w:p w14:paraId="1B26E66F">
      <w:pPr>
        <w:overflowPunct w:val="0"/>
        <w:autoSpaceDE w:val="0"/>
        <w:autoSpaceDN w:val="0"/>
        <w:adjustRightInd w:val="0"/>
        <w:snapToGrid w:val="0"/>
        <w:spacing w:line="570" w:lineRule="exact"/>
        <w:rPr>
          <w:rFonts w:ascii="仿宋_GB2312" w:hAnsi="Times New Roman" w:eastAsia="仿宋_GB2312"/>
          <w:kern w:val="0"/>
          <w:sz w:val="32"/>
          <w:szCs w:val="32"/>
        </w:rPr>
      </w:pPr>
      <w:r>
        <w:rPr>
          <w:rFonts w:hint="eastAsia" w:ascii="仿宋_GB2312" w:hAnsi="Times New Roman" w:eastAsia="仿宋_GB2312"/>
          <w:kern w:val="0"/>
          <w:sz w:val="32"/>
          <w:szCs w:val="32"/>
        </w:rPr>
        <w:t xml:space="preserve">    3.</w:t>
      </w:r>
      <w:r>
        <w:rPr>
          <w:rFonts w:hint="eastAsia" w:ascii="仿宋_GB2312" w:hAnsi="Times New Roman" w:eastAsia="仿宋_GB2312"/>
          <w:sz w:val="32"/>
          <w:szCs w:val="32"/>
        </w:rPr>
        <w:t>医保定点医疗机构</w:t>
      </w:r>
      <w:r>
        <w:rPr>
          <w:rFonts w:hint="eastAsia" w:ascii="仿宋_GB2312" w:hAnsi="仿宋_GB2312" w:eastAsia="仿宋_GB2312"/>
          <w:kern w:val="0"/>
          <w:sz w:val="32"/>
          <w:szCs w:val="32"/>
        </w:rPr>
        <w:t>专科主治医师以上（含主治医师）签名的治疗计划；</w:t>
      </w:r>
    </w:p>
    <w:p w14:paraId="71938DC9">
      <w:pPr>
        <w:overflowPunct w:val="0"/>
        <w:autoSpaceDE w:val="0"/>
        <w:autoSpaceDN w:val="0"/>
        <w:adjustRightInd w:val="0"/>
        <w:snapToGrid w:val="0"/>
        <w:spacing w:line="570" w:lineRule="exact"/>
        <w:ind w:firstLine="640" w:firstLineChars="200"/>
        <w:rPr>
          <w:rFonts w:ascii="楷体_GB2312" w:hAnsi="Times New Roman" w:eastAsia="楷体_GB2312"/>
          <w:bCs/>
          <w:sz w:val="32"/>
          <w:szCs w:val="32"/>
        </w:rPr>
      </w:pPr>
      <w:r>
        <w:rPr>
          <w:rFonts w:hint="eastAsia" w:ascii="楷体_GB2312" w:hAnsi="Times New Roman" w:eastAsia="楷体_GB2312"/>
          <w:bCs/>
          <w:sz w:val="32"/>
          <w:szCs w:val="32"/>
        </w:rPr>
        <w:t>（二）治疗指征（认定标准）</w:t>
      </w:r>
    </w:p>
    <w:p w14:paraId="6E3B22D3">
      <w:pPr>
        <w:overflowPunct w:val="0"/>
        <w:autoSpaceDE w:val="0"/>
        <w:autoSpaceDN w:val="0"/>
        <w:adjustRightInd w:val="0"/>
        <w:snapToGrid w:val="0"/>
        <w:spacing w:line="570" w:lineRule="exact"/>
        <w:rPr>
          <w:rFonts w:ascii="仿宋_GB2312" w:hAnsi="Times New Roman" w:eastAsia="仿宋_GB2312"/>
          <w:kern w:val="0"/>
          <w:sz w:val="32"/>
          <w:szCs w:val="32"/>
        </w:rPr>
      </w:pPr>
      <w:r>
        <w:rPr>
          <w:rFonts w:hint="eastAsia" w:ascii="仿宋_GB2312" w:hAnsi="Times New Roman" w:eastAsia="仿宋_GB2312"/>
          <w:bCs/>
          <w:sz w:val="32"/>
          <w:szCs w:val="32"/>
        </w:rPr>
        <w:t xml:space="preserve">    1.</w:t>
      </w:r>
      <w:r>
        <w:rPr>
          <w:rFonts w:hint="eastAsia" w:ascii="仿宋_GB2312" w:hAnsi="仿宋_GB2312" w:eastAsia="仿宋_GB2312"/>
          <w:kern w:val="0"/>
          <w:sz w:val="32"/>
          <w:szCs w:val="32"/>
        </w:rPr>
        <w:t>有心绞痛、急性心肌梗死、陈旧性心肌梗死病史；</w:t>
      </w:r>
    </w:p>
    <w:p w14:paraId="327EBC15">
      <w:pPr>
        <w:overflowPunct w:val="0"/>
        <w:autoSpaceDE w:val="0"/>
        <w:autoSpaceDN w:val="0"/>
        <w:adjustRightInd w:val="0"/>
        <w:snapToGrid w:val="0"/>
        <w:spacing w:line="570" w:lineRule="exact"/>
        <w:rPr>
          <w:rFonts w:ascii="仿宋_GB2312" w:hAnsi="Times New Roman" w:eastAsia="仿宋_GB2312"/>
          <w:kern w:val="0"/>
          <w:sz w:val="32"/>
          <w:szCs w:val="32"/>
        </w:rPr>
      </w:pPr>
      <w:r>
        <w:rPr>
          <w:rFonts w:hint="eastAsia" w:ascii="仿宋_GB2312" w:hAnsi="Times New Roman" w:eastAsia="仿宋_GB2312"/>
          <w:kern w:val="0"/>
          <w:sz w:val="32"/>
          <w:szCs w:val="32"/>
        </w:rPr>
        <w:t xml:space="preserve">    2.</w:t>
      </w:r>
      <w:r>
        <w:rPr>
          <w:rFonts w:hint="eastAsia" w:ascii="仿宋_GB2312" w:hAnsi="仿宋_GB2312" w:eastAsia="仿宋_GB2312"/>
          <w:kern w:val="0"/>
          <w:sz w:val="32"/>
          <w:szCs w:val="32"/>
        </w:rPr>
        <w:t>行冠脉支架植入术须长期门诊治疗者。</w:t>
      </w:r>
    </w:p>
    <w:p w14:paraId="6FA6C619">
      <w:pPr>
        <w:overflowPunct w:val="0"/>
        <w:autoSpaceDE w:val="0"/>
        <w:autoSpaceDN w:val="0"/>
        <w:adjustRightInd w:val="0"/>
        <w:snapToGrid w:val="0"/>
        <w:spacing w:line="570" w:lineRule="exact"/>
        <w:ind w:firstLine="640" w:firstLineChars="200"/>
        <w:rPr>
          <w:rFonts w:ascii="楷体_GB2312" w:hAnsi="Times New Roman" w:eastAsia="楷体_GB2312"/>
          <w:bCs/>
          <w:sz w:val="32"/>
          <w:szCs w:val="32"/>
        </w:rPr>
      </w:pPr>
      <w:r>
        <w:rPr>
          <w:rFonts w:hint="eastAsia" w:ascii="楷体_GB2312" w:hAnsi="Times New Roman" w:eastAsia="楷体_GB2312"/>
          <w:bCs/>
          <w:sz w:val="32"/>
          <w:szCs w:val="32"/>
        </w:rPr>
        <w:t>（三）门诊诊疗范围</w:t>
      </w:r>
    </w:p>
    <w:p w14:paraId="111EE9F9">
      <w:pPr>
        <w:overflowPunct w:val="0"/>
        <w:autoSpaceDE w:val="0"/>
        <w:autoSpaceDN w:val="0"/>
        <w:adjustRightInd w:val="0"/>
        <w:snapToGrid w:val="0"/>
        <w:spacing w:line="570" w:lineRule="exact"/>
        <w:rPr>
          <w:rFonts w:ascii="仿宋_GB2312" w:hAnsi="Times New Roman" w:eastAsia="仿宋_GB2312"/>
          <w:kern w:val="0"/>
          <w:sz w:val="32"/>
          <w:szCs w:val="32"/>
        </w:rPr>
      </w:pPr>
      <w:r>
        <w:rPr>
          <w:rFonts w:hint="eastAsia" w:ascii="仿宋_GB2312" w:hAnsi="Times New Roman" w:eastAsia="仿宋_GB2312"/>
          <w:bCs/>
          <w:sz w:val="32"/>
          <w:szCs w:val="32"/>
        </w:rPr>
        <w:t xml:space="preserve">    </w:t>
      </w:r>
      <w:r>
        <w:rPr>
          <w:rFonts w:hint="eastAsia" w:ascii="仿宋_GB2312" w:hAnsi="Times New Roman" w:eastAsia="仿宋_GB2312"/>
          <w:kern w:val="0"/>
          <w:sz w:val="32"/>
          <w:szCs w:val="32"/>
        </w:rPr>
        <w:t>1.</w:t>
      </w:r>
      <w:r>
        <w:rPr>
          <w:rFonts w:hint="eastAsia" w:ascii="仿宋_GB2312" w:hAnsi="仿宋_GB2312" w:eastAsia="仿宋_GB2312"/>
          <w:kern w:val="0"/>
          <w:sz w:val="32"/>
          <w:szCs w:val="32"/>
        </w:rPr>
        <w:t>抗血小板药、调脂药、</w:t>
      </w:r>
      <w:r>
        <w:rPr>
          <w:rFonts w:hint="eastAsia" w:ascii="仿宋_GB2312" w:hAnsi="Times New Roman" w:eastAsia="仿宋_GB2312"/>
          <w:kern w:val="0"/>
          <w:sz w:val="32"/>
          <w:szCs w:val="32"/>
        </w:rPr>
        <w:t>β-</w:t>
      </w:r>
      <w:r>
        <w:rPr>
          <w:rFonts w:hint="eastAsia" w:ascii="仿宋_GB2312" w:hAnsi="仿宋_GB2312" w:eastAsia="仿宋_GB2312"/>
          <w:kern w:val="0"/>
          <w:sz w:val="32"/>
          <w:szCs w:val="32"/>
        </w:rPr>
        <w:t>受体阻滞剂、</w:t>
      </w:r>
      <w:r>
        <w:rPr>
          <w:rFonts w:hint="eastAsia" w:ascii="仿宋_GB2312" w:hAnsi="Times New Roman" w:eastAsia="仿宋_GB2312"/>
          <w:kern w:val="0"/>
          <w:sz w:val="32"/>
          <w:szCs w:val="32"/>
        </w:rPr>
        <w:t>ACEI</w:t>
      </w:r>
      <w:r>
        <w:rPr>
          <w:rFonts w:hint="eastAsia" w:ascii="仿宋_GB2312" w:hAnsi="仿宋_GB2312" w:eastAsia="仿宋_GB2312"/>
          <w:kern w:val="0"/>
          <w:sz w:val="32"/>
          <w:szCs w:val="32"/>
        </w:rPr>
        <w:t>类药、</w:t>
      </w:r>
      <w:r>
        <w:rPr>
          <w:rFonts w:hint="eastAsia" w:ascii="仿宋_GB2312" w:hAnsi="Times New Roman" w:eastAsia="仿宋_GB2312"/>
          <w:kern w:val="0"/>
          <w:sz w:val="32"/>
          <w:szCs w:val="32"/>
        </w:rPr>
        <w:t>ARB</w:t>
      </w:r>
      <w:r>
        <w:rPr>
          <w:rFonts w:hint="eastAsia" w:ascii="仿宋_GB2312" w:hAnsi="仿宋_GB2312" w:eastAsia="仿宋_GB2312"/>
          <w:kern w:val="0"/>
          <w:sz w:val="32"/>
          <w:szCs w:val="32"/>
        </w:rPr>
        <w:t>类药；</w:t>
      </w:r>
    </w:p>
    <w:p w14:paraId="286046F8">
      <w:pPr>
        <w:overflowPunct w:val="0"/>
        <w:autoSpaceDE w:val="0"/>
        <w:autoSpaceDN w:val="0"/>
        <w:adjustRightInd w:val="0"/>
        <w:snapToGrid w:val="0"/>
        <w:spacing w:line="570" w:lineRule="exact"/>
        <w:rPr>
          <w:rFonts w:ascii="仿宋_GB2312" w:hAnsi="Times New Roman" w:eastAsia="仿宋_GB2312"/>
          <w:kern w:val="0"/>
          <w:sz w:val="32"/>
          <w:szCs w:val="32"/>
        </w:rPr>
      </w:pPr>
      <w:r>
        <w:rPr>
          <w:rFonts w:hint="eastAsia" w:ascii="仿宋_GB2312" w:hAnsi="Times New Roman" w:eastAsia="仿宋_GB2312"/>
          <w:kern w:val="0"/>
          <w:sz w:val="32"/>
          <w:szCs w:val="32"/>
        </w:rPr>
        <w:t xml:space="preserve">    2.</w:t>
      </w:r>
      <w:r>
        <w:rPr>
          <w:rFonts w:hint="eastAsia" w:ascii="仿宋_GB2312" w:hAnsi="仿宋_GB2312" w:eastAsia="仿宋_GB2312"/>
          <w:kern w:val="0"/>
          <w:sz w:val="32"/>
          <w:szCs w:val="32"/>
        </w:rPr>
        <w:t>冠心病的相关检查及治疗。</w:t>
      </w:r>
    </w:p>
    <w:p w14:paraId="166A257E">
      <w:pPr>
        <w:overflowPunct w:val="0"/>
        <w:autoSpaceDE w:val="0"/>
        <w:autoSpaceDN w:val="0"/>
        <w:adjustRightInd w:val="0"/>
        <w:snapToGrid w:val="0"/>
        <w:spacing w:line="570" w:lineRule="exact"/>
        <w:ind w:firstLine="640" w:firstLineChars="200"/>
        <w:rPr>
          <w:rFonts w:ascii="楷体_GB2312" w:hAnsi="Times New Roman" w:eastAsia="楷体_GB2312"/>
          <w:bCs/>
          <w:sz w:val="32"/>
          <w:szCs w:val="32"/>
        </w:rPr>
      </w:pPr>
      <w:r>
        <w:rPr>
          <w:rFonts w:hint="eastAsia" w:ascii="楷体_GB2312" w:hAnsi="Times New Roman" w:eastAsia="楷体_GB2312"/>
          <w:bCs/>
          <w:sz w:val="32"/>
          <w:szCs w:val="32"/>
        </w:rPr>
        <w:t>（四）复审期限</w:t>
      </w:r>
    </w:p>
    <w:p w14:paraId="710327A5">
      <w:pPr>
        <w:pStyle w:val="12"/>
        <w:widowControl w:val="0"/>
        <w:overflowPunct w:val="0"/>
        <w:autoSpaceDE w:val="0"/>
        <w:autoSpaceDN w:val="0"/>
        <w:adjustRightInd w:val="0"/>
        <w:snapToGrid w:val="0"/>
        <w:spacing w:line="570" w:lineRule="exact"/>
        <w:jc w:val="both"/>
        <w:rPr>
          <w:rFonts w:ascii="仿宋_GB2312" w:hAnsi="仿宋_GB2312" w:eastAsia="仿宋_GB2312"/>
          <w:bCs/>
          <w:sz w:val="32"/>
          <w:szCs w:val="32"/>
        </w:rPr>
      </w:pPr>
      <w:r>
        <w:rPr>
          <w:rFonts w:hint="eastAsia" w:ascii="仿宋_GB2312" w:hAnsi="Times New Roman" w:eastAsia="仿宋_GB2312"/>
          <w:bCs/>
          <w:sz w:val="32"/>
          <w:szCs w:val="32"/>
        </w:rPr>
        <w:t xml:space="preserve">   </w:t>
      </w:r>
      <w:r>
        <w:rPr>
          <w:rFonts w:hint="eastAsia" w:ascii="仿宋_GB2312" w:hAnsi="仿宋_GB2312" w:eastAsia="仿宋_GB2312"/>
          <w:bCs/>
          <w:sz w:val="32"/>
          <w:szCs w:val="32"/>
        </w:rPr>
        <w:t>每</w:t>
      </w:r>
      <w:r>
        <w:rPr>
          <w:rFonts w:hint="eastAsia" w:ascii="仿宋_GB2312" w:hAnsi="Times New Roman" w:eastAsia="仿宋_GB2312"/>
          <w:bCs/>
          <w:sz w:val="32"/>
          <w:szCs w:val="32"/>
        </w:rPr>
        <w:t>5</w:t>
      </w:r>
      <w:r>
        <w:rPr>
          <w:rFonts w:hint="eastAsia" w:ascii="仿宋_GB2312" w:hAnsi="仿宋_GB2312" w:eastAsia="仿宋_GB2312"/>
          <w:bCs/>
          <w:sz w:val="32"/>
          <w:szCs w:val="32"/>
        </w:rPr>
        <w:t>年复审一次。</w:t>
      </w:r>
    </w:p>
    <w:p w14:paraId="63844874">
      <w:pPr>
        <w:pStyle w:val="12"/>
        <w:widowControl w:val="0"/>
        <w:overflowPunct w:val="0"/>
        <w:autoSpaceDE w:val="0"/>
        <w:autoSpaceDN w:val="0"/>
        <w:adjustRightInd w:val="0"/>
        <w:snapToGrid w:val="0"/>
        <w:spacing w:line="570" w:lineRule="exact"/>
        <w:ind w:firstLine="640" w:firstLineChars="200"/>
        <w:jc w:val="both"/>
        <w:rPr>
          <w:rFonts w:ascii="仿宋_GB2312" w:hAnsi="仿宋_GB2312" w:eastAsia="仿宋_GB2312"/>
          <w:bCs/>
          <w:sz w:val="32"/>
          <w:szCs w:val="32"/>
        </w:rPr>
      </w:pPr>
      <w:r>
        <w:rPr>
          <w:rFonts w:hint="eastAsia" w:ascii="黑体" w:hAnsi="黑体" w:eastAsia="黑体"/>
          <w:sz w:val="32"/>
          <w:szCs w:val="32"/>
        </w:rPr>
        <w:t>二十八、血管支架置入术后状态</w:t>
      </w:r>
    </w:p>
    <w:p w14:paraId="1C75B0E3">
      <w:pPr>
        <w:overflowPunct w:val="0"/>
        <w:autoSpaceDE w:val="0"/>
        <w:autoSpaceDN w:val="0"/>
        <w:adjustRightInd w:val="0"/>
        <w:snapToGrid w:val="0"/>
        <w:spacing w:line="570" w:lineRule="exact"/>
        <w:rPr>
          <w:rFonts w:ascii="仿宋_GB2312" w:hAnsi="Times New Roman" w:eastAsia="仿宋_GB2312"/>
          <w:bCs/>
          <w:sz w:val="32"/>
          <w:szCs w:val="32"/>
        </w:rPr>
      </w:pPr>
      <w:r>
        <w:rPr>
          <w:rFonts w:hint="eastAsia" w:ascii="仿宋_GB2312" w:hAnsi="Times New Roman" w:eastAsia="仿宋_GB2312"/>
          <w:bCs/>
          <w:sz w:val="32"/>
          <w:szCs w:val="32"/>
        </w:rPr>
        <w:t xml:space="preserve">    </w:t>
      </w:r>
      <w:r>
        <w:rPr>
          <w:rFonts w:hint="eastAsia" w:ascii="楷体_GB2312" w:hAnsi="Times New Roman" w:eastAsia="楷体_GB2312"/>
          <w:bCs/>
          <w:sz w:val="32"/>
          <w:szCs w:val="32"/>
        </w:rPr>
        <w:t>（一）申报资料</w:t>
      </w:r>
    </w:p>
    <w:p w14:paraId="21C6130B">
      <w:pPr>
        <w:overflowPunct w:val="0"/>
        <w:autoSpaceDE w:val="0"/>
        <w:autoSpaceDN w:val="0"/>
        <w:adjustRightInd w:val="0"/>
        <w:snapToGrid w:val="0"/>
        <w:spacing w:line="570" w:lineRule="exact"/>
        <w:rPr>
          <w:rFonts w:ascii="仿宋_GB2312" w:hAnsi="Times New Roman" w:eastAsia="仿宋_GB2312"/>
          <w:kern w:val="0"/>
          <w:sz w:val="32"/>
          <w:szCs w:val="32"/>
        </w:rPr>
      </w:pPr>
      <w:r>
        <w:rPr>
          <w:rFonts w:hint="eastAsia" w:ascii="仿宋_GB2312" w:hAnsi="Times New Roman" w:eastAsia="仿宋_GB2312"/>
          <w:bCs/>
          <w:sz w:val="32"/>
          <w:szCs w:val="32"/>
        </w:rPr>
        <w:t xml:space="preserve">    </w:t>
      </w:r>
      <w:r>
        <w:rPr>
          <w:rFonts w:hint="eastAsia" w:ascii="仿宋_GB2312" w:hAnsi="Times New Roman" w:eastAsia="仿宋_GB2312"/>
          <w:kern w:val="0"/>
          <w:sz w:val="32"/>
          <w:szCs w:val="32"/>
        </w:rPr>
        <w:t>1.</w:t>
      </w:r>
      <w:r>
        <w:rPr>
          <w:rFonts w:hint="eastAsia" w:ascii="仿宋_GB2312" w:hAnsi="仿宋_GB2312" w:eastAsia="仿宋_GB2312"/>
          <w:kern w:val="0"/>
          <w:sz w:val="32"/>
          <w:szCs w:val="32"/>
        </w:rPr>
        <w:t>须提供</w:t>
      </w:r>
      <w:r>
        <w:rPr>
          <w:rFonts w:hint="eastAsia" w:ascii="仿宋_GB2312" w:hAnsi="Times New Roman" w:eastAsia="仿宋_GB2312"/>
          <w:sz w:val="32"/>
          <w:szCs w:val="32"/>
        </w:rPr>
        <w:t>医保定点医疗机构</w:t>
      </w:r>
      <w:r>
        <w:rPr>
          <w:rFonts w:hint="eastAsia" w:ascii="仿宋_GB2312" w:hAnsi="仿宋_GB2312" w:eastAsia="仿宋_GB2312"/>
          <w:kern w:val="0"/>
          <w:sz w:val="32"/>
          <w:szCs w:val="32"/>
        </w:rPr>
        <w:t>患者本人包含介入治疗手术记录在内的完整住院病历；</w:t>
      </w:r>
    </w:p>
    <w:p w14:paraId="1083249E">
      <w:pPr>
        <w:overflowPunct w:val="0"/>
        <w:autoSpaceDE w:val="0"/>
        <w:autoSpaceDN w:val="0"/>
        <w:adjustRightInd w:val="0"/>
        <w:snapToGrid w:val="0"/>
        <w:spacing w:line="570" w:lineRule="exact"/>
        <w:rPr>
          <w:rFonts w:ascii="仿宋_GB2312" w:hAnsi="Times New Roman" w:eastAsia="仿宋_GB2312"/>
          <w:kern w:val="0"/>
          <w:sz w:val="32"/>
          <w:szCs w:val="32"/>
        </w:rPr>
      </w:pPr>
      <w:r>
        <w:rPr>
          <w:rFonts w:hint="eastAsia" w:ascii="仿宋_GB2312" w:hAnsi="Times New Roman" w:eastAsia="仿宋_GB2312"/>
          <w:kern w:val="0"/>
          <w:sz w:val="32"/>
          <w:szCs w:val="32"/>
        </w:rPr>
        <w:t xml:space="preserve">    2.</w:t>
      </w:r>
      <w:r>
        <w:rPr>
          <w:rFonts w:hint="eastAsia" w:ascii="仿宋_GB2312" w:hAnsi="仿宋_GB2312" w:eastAsia="仿宋_GB2312"/>
          <w:kern w:val="0"/>
          <w:sz w:val="32"/>
          <w:szCs w:val="32"/>
        </w:rPr>
        <w:t>有关临床辅助检查及治疗经过资料；</w:t>
      </w:r>
    </w:p>
    <w:p w14:paraId="1B7CF821">
      <w:pPr>
        <w:overflowPunct w:val="0"/>
        <w:autoSpaceDE w:val="0"/>
        <w:autoSpaceDN w:val="0"/>
        <w:adjustRightInd w:val="0"/>
        <w:snapToGrid w:val="0"/>
        <w:spacing w:line="570" w:lineRule="exact"/>
        <w:rPr>
          <w:rFonts w:ascii="仿宋_GB2312" w:hAnsi="Times New Roman" w:eastAsia="仿宋_GB2312"/>
          <w:kern w:val="0"/>
          <w:sz w:val="32"/>
          <w:szCs w:val="32"/>
        </w:rPr>
      </w:pPr>
      <w:r>
        <w:rPr>
          <w:rFonts w:hint="eastAsia" w:ascii="仿宋_GB2312" w:hAnsi="Times New Roman" w:eastAsia="仿宋_GB2312"/>
          <w:kern w:val="0"/>
          <w:sz w:val="32"/>
          <w:szCs w:val="32"/>
        </w:rPr>
        <w:t xml:space="preserve">    3.</w:t>
      </w:r>
      <w:r>
        <w:rPr>
          <w:rFonts w:hint="eastAsia" w:ascii="仿宋_GB2312" w:hAnsi="Times New Roman" w:eastAsia="仿宋_GB2312"/>
          <w:sz w:val="32"/>
          <w:szCs w:val="32"/>
        </w:rPr>
        <w:t>医保定点医疗机构</w:t>
      </w:r>
      <w:r>
        <w:rPr>
          <w:rFonts w:hint="eastAsia" w:ascii="仿宋_GB2312" w:hAnsi="仿宋_GB2312" w:eastAsia="仿宋_GB2312"/>
          <w:kern w:val="0"/>
          <w:sz w:val="32"/>
          <w:szCs w:val="32"/>
        </w:rPr>
        <w:t>专科主治医师以上（含主治医师）签名的治疗计划。</w:t>
      </w:r>
    </w:p>
    <w:p w14:paraId="182108F5">
      <w:pPr>
        <w:overflowPunct w:val="0"/>
        <w:autoSpaceDE w:val="0"/>
        <w:autoSpaceDN w:val="0"/>
        <w:adjustRightInd w:val="0"/>
        <w:snapToGrid w:val="0"/>
        <w:spacing w:line="570" w:lineRule="exact"/>
        <w:rPr>
          <w:rFonts w:ascii="楷体_GB2312" w:hAnsi="Times New Roman" w:eastAsia="楷体_GB2312"/>
          <w:bCs/>
          <w:sz w:val="32"/>
          <w:szCs w:val="32"/>
        </w:rPr>
      </w:pPr>
      <w:r>
        <w:rPr>
          <w:rFonts w:hint="eastAsia" w:ascii="仿宋_GB2312" w:hAnsi="Times New Roman" w:eastAsia="仿宋_GB2312"/>
          <w:bCs/>
          <w:sz w:val="32"/>
          <w:szCs w:val="32"/>
        </w:rPr>
        <w:t xml:space="preserve">    </w:t>
      </w:r>
      <w:r>
        <w:rPr>
          <w:rFonts w:hint="eastAsia" w:ascii="楷体_GB2312" w:hAnsi="Times New Roman" w:eastAsia="楷体_GB2312"/>
          <w:bCs/>
          <w:sz w:val="32"/>
          <w:szCs w:val="32"/>
        </w:rPr>
        <w:t>（二）治疗指征（认定标准）</w:t>
      </w:r>
    </w:p>
    <w:p w14:paraId="4A1A683B">
      <w:pPr>
        <w:overflowPunct w:val="0"/>
        <w:autoSpaceDE w:val="0"/>
        <w:autoSpaceDN w:val="0"/>
        <w:adjustRightInd w:val="0"/>
        <w:snapToGrid w:val="0"/>
        <w:spacing w:line="570" w:lineRule="exact"/>
        <w:rPr>
          <w:rFonts w:ascii="仿宋_GB2312" w:hAnsi="Times New Roman" w:eastAsia="仿宋_GB2312"/>
          <w:kern w:val="0"/>
          <w:sz w:val="32"/>
          <w:szCs w:val="32"/>
        </w:rPr>
      </w:pPr>
      <w:r>
        <w:rPr>
          <w:rFonts w:hint="eastAsia" w:ascii="仿宋_GB2312" w:hAnsi="Times New Roman" w:eastAsia="仿宋_GB2312"/>
          <w:bCs/>
          <w:sz w:val="32"/>
          <w:szCs w:val="32"/>
        </w:rPr>
        <w:t xml:space="preserve">    1.</w:t>
      </w:r>
      <w:r>
        <w:rPr>
          <w:rFonts w:hint="eastAsia" w:ascii="仿宋_GB2312" w:hAnsi="仿宋_GB2312" w:eastAsia="仿宋_GB2312"/>
          <w:kern w:val="0"/>
          <w:sz w:val="32"/>
          <w:szCs w:val="32"/>
        </w:rPr>
        <w:t>有血管病病史；</w:t>
      </w:r>
    </w:p>
    <w:p w14:paraId="2E21502E">
      <w:pPr>
        <w:overflowPunct w:val="0"/>
        <w:autoSpaceDE w:val="0"/>
        <w:autoSpaceDN w:val="0"/>
        <w:adjustRightInd w:val="0"/>
        <w:snapToGrid w:val="0"/>
        <w:spacing w:line="570" w:lineRule="exact"/>
        <w:rPr>
          <w:rFonts w:ascii="仿宋_GB2312" w:hAnsi="Times New Roman" w:eastAsia="仿宋_GB2312"/>
          <w:kern w:val="0"/>
          <w:sz w:val="32"/>
          <w:szCs w:val="32"/>
        </w:rPr>
      </w:pPr>
      <w:r>
        <w:rPr>
          <w:rFonts w:hint="eastAsia" w:ascii="仿宋_GB2312" w:hAnsi="Times New Roman" w:eastAsia="仿宋_GB2312"/>
          <w:kern w:val="0"/>
          <w:sz w:val="32"/>
          <w:szCs w:val="32"/>
        </w:rPr>
        <w:t xml:space="preserve">    2.</w:t>
      </w:r>
      <w:r>
        <w:rPr>
          <w:rFonts w:hint="eastAsia" w:ascii="仿宋_GB2312" w:hAnsi="仿宋_GB2312" w:eastAsia="仿宋_GB2312"/>
          <w:kern w:val="0"/>
          <w:sz w:val="32"/>
          <w:szCs w:val="32"/>
        </w:rPr>
        <w:t>行血管支架植入术（含外周血管支架）须长期门诊治疗者。</w:t>
      </w:r>
    </w:p>
    <w:p w14:paraId="32D5EFAB">
      <w:pPr>
        <w:overflowPunct w:val="0"/>
        <w:autoSpaceDE w:val="0"/>
        <w:autoSpaceDN w:val="0"/>
        <w:adjustRightInd w:val="0"/>
        <w:snapToGrid w:val="0"/>
        <w:spacing w:line="570" w:lineRule="exact"/>
        <w:rPr>
          <w:rFonts w:ascii="仿宋_GB2312" w:hAnsi="Times New Roman" w:eastAsia="仿宋_GB2312"/>
          <w:b/>
          <w:bCs/>
          <w:sz w:val="32"/>
          <w:szCs w:val="32"/>
        </w:rPr>
      </w:pPr>
      <w:r>
        <w:rPr>
          <w:rFonts w:hint="eastAsia" w:ascii="仿宋_GB2312" w:hAnsi="Times New Roman" w:eastAsia="仿宋_GB2312"/>
          <w:bCs/>
          <w:sz w:val="32"/>
          <w:szCs w:val="32"/>
        </w:rPr>
        <w:t xml:space="preserve">    </w:t>
      </w:r>
      <w:r>
        <w:rPr>
          <w:rFonts w:hint="eastAsia" w:ascii="楷体_GB2312" w:hAnsi="Times New Roman" w:eastAsia="楷体_GB2312"/>
          <w:bCs/>
          <w:sz w:val="32"/>
          <w:szCs w:val="32"/>
        </w:rPr>
        <w:t>（三）门诊诊疗范围</w:t>
      </w:r>
    </w:p>
    <w:p w14:paraId="29E3B9E1">
      <w:pPr>
        <w:overflowPunct w:val="0"/>
        <w:autoSpaceDE w:val="0"/>
        <w:autoSpaceDN w:val="0"/>
        <w:adjustRightInd w:val="0"/>
        <w:snapToGrid w:val="0"/>
        <w:spacing w:line="570" w:lineRule="exact"/>
        <w:rPr>
          <w:rFonts w:ascii="仿宋_GB2312" w:hAnsi="Times New Roman" w:eastAsia="仿宋_GB2312"/>
          <w:kern w:val="0"/>
          <w:sz w:val="32"/>
          <w:szCs w:val="32"/>
        </w:rPr>
      </w:pPr>
      <w:r>
        <w:rPr>
          <w:rFonts w:hint="eastAsia" w:ascii="仿宋_GB2312" w:hAnsi="Times New Roman" w:eastAsia="仿宋_GB2312"/>
          <w:kern w:val="0"/>
          <w:sz w:val="32"/>
          <w:szCs w:val="32"/>
        </w:rPr>
        <w:t xml:space="preserve">    1.</w:t>
      </w:r>
      <w:r>
        <w:rPr>
          <w:rFonts w:hint="eastAsia" w:ascii="仿宋_GB2312" w:hAnsi="仿宋_GB2312" w:eastAsia="仿宋_GB2312"/>
          <w:kern w:val="0"/>
          <w:sz w:val="32"/>
          <w:szCs w:val="32"/>
        </w:rPr>
        <w:t>抗血小板治疗；</w:t>
      </w:r>
    </w:p>
    <w:p w14:paraId="195F1360">
      <w:pPr>
        <w:overflowPunct w:val="0"/>
        <w:autoSpaceDE w:val="0"/>
        <w:autoSpaceDN w:val="0"/>
        <w:adjustRightInd w:val="0"/>
        <w:snapToGrid w:val="0"/>
        <w:spacing w:line="570" w:lineRule="exact"/>
        <w:rPr>
          <w:rFonts w:ascii="仿宋_GB2312" w:hAnsi="Times New Roman" w:eastAsia="仿宋_GB2312"/>
          <w:kern w:val="0"/>
          <w:sz w:val="32"/>
          <w:szCs w:val="32"/>
        </w:rPr>
      </w:pPr>
      <w:r>
        <w:rPr>
          <w:rFonts w:hint="eastAsia" w:ascii="仿宋_GB2312" w:hAnsi="Times New Roman" w:eastAsia="仿宋_GB2312"/>
          <w:kern w:val="0"/>
          <w:sz w:val="32"/>
          <w:szCs w:val="32"/>
        </w:rPr>
        <w:t xml:space="preserve">    2.</w:t>
      </w:r>
      <w:r>
        <w:rPr>
          <w:rFonts w:hint="eastAsia" w:ascii="仿宋_GB2312" w:hAnsi="仿宋_GB2312" w:eastAsia="仿宋_GB2312"/>
          <w:kern w:val="0"/>
          <w:sz w:val="32"/>
          <w:szCs w:val="32"/>
        </w:rPr>
        <w:t>血管病的相关检查及治疗。</w:t>
      </w:r>
    </w:p>
    <w:p w14:paraId="0A0B12C8">
      <w:pPr>
        <w:overflowPunct w:val="0"/>
        <w:autoSpaceDE w:val="0"/>
        <w:autoSpaceDN w:val="0"/>
        <w:adjustRightInd w:val="0"/>
        <w:snapToGrid w:val="0"/>
        <w:spacing w:line="570" w:lineRule="exact"/>
        <w:rPr>
          <w:rFonts w:ascii="仿宋_GB2312" w:hAnsi="Times New Roman" w:eastAsia="仿宋_GB2312"/>
          <w:bCs/>
          <w:sz w:val="32"/>
          <w:szCs w:val="32"/>
        </w:rPr>
      </w:pPr>
      <w:r>
        <w:rPr>
          <w:rFonts w:hint="eastAsia" w:ascii="仿宋_GB2312" w:hAnsi="Times New Roman" w:eastAsia="仿宋_GB2312"/>
          <w:bCs/>
          <w:sz w:val="32"/>
          <w:szCs w:val="32"/>
        </w:rPr>
        <w:t xml:space="preserve">    </w:t>
      </w:r>
      <w:r>
        <w:rPr>
          <w:rFonts w:hint="eastAsia" w:ascii="楷体_GB2312" w:hAnsi="Times New Roman" w:eastAsia="楷体_GB2312"/>
          <w:bCs/>
          <w:sz w:val="32"/>
          <w:szCs w:val="32"/>
        </w:rPr>
        <w:t>（四）复审期限</w:t>
      </w:r>
    </w:p>
    <w:p w14:paraId="4621990C">
      <w:pPr>
        <w:pStyle w:val="12"/>
        <w:widowControl w:val="0"/>
        <w:overflowPunct w:val="0"/>
        <w:autoSpaceDE w:val="0"/>
        <w:autoSpaceDN w:val="0"/>
        <w:adjustRightInd w:val="0"/>
        <w:snapToGrid w:val="0"/>
        <w:spacing w:line="570" w:lineRule="exact"/>
        <w:ind w:firstLine="0"/>
        <w:jc w:val="both"/>
        <w:rPr>
          <w:rFonts w:ascii="仿宋_GB2312" w:hAnsi="Times New Roman" w:eastAsia="仿宋_GB2312"/>
          <w:bCs/>
          <w:sz w:val="32"/>
          <w:szCs w:val="32"/>
        </w:rPr>
      </w:pPr>
      <w:r>
        <w:rPr>
          <w:rFonts w:hint="eastAsia" w:ascii="仿宋_GB2312" w:hAnsi="Times New Roman" w:eastAsia="仿宋_GB2312"/>
          <w:bCs/>
          <w:sz w:val="32"/>
          <w:szCs w:val="32"/>
        </w:rPr>
        <w:t xml:space="preserve">    </w:t>
      </w:r>
      <w:r>
        <w:rPr>
          <w:rFonts w:hint="eastAsia" w:ascii="仿宋_GB2312" w:hAnsi="仿宋_GB2312" w:eastAsia="仿宋_GB2312"/>
          <w:bCs/>
          <w:sz w:val="32"/>
          <w:szCs w:val="32"/>
        </w:rPr>
        <w:t>每</w:t>
      </w:r>
      <w:r>
        <w:rPr>
          <w:rFonts w:hint="eastAsia" w:ascii="仿宋_GB2312" w:hAnsi="Times New Roman" w:eastAsia="仿宋_GB2312"/>
          <w:bCs/>
          <w:sz w:val="32"/>
          <w:szCs w:val="32"/>
        </w:rPr>
        <w:t>5</w:t>
      </w:r>
      <w:r>
        <w:rPr>
          <w:rFonts w:hint="eastAsia" w:ascii="仿宋_GB2312" w:hAnsi="仿宋_GB2312" w:eastAsia="仿宋_GB2312"/>
          <w:bCs/>
          <w:sz w:val="32"/>
          <w:szCs w:val="32"/>
        </w:rPr>
        <w:t>年复审一次。</w:t>
      </w:r>
    </w:p>
    <w:p w14:paraId="43900167">
      <w:pPr>
        <w:pStyle w:val="12"/>
        <w:widowControl w:val="0"/>
        <w:overflowPunct w:val="0"/>
        <w:autoSpaceDE w:val="0"/>
        <w:autoSpaceDN w:val="0"/>
        <w:adjustRightInd w:val="0"/>
        <w:snapToGrid w:val="0"/>
        <w:spacing w:line="570" w:lineRule="exact"/>
        <w:ind w:firstLine="0"/>
        <w:jc w:val="both"/>
        <w:rPr>
          <w:rFonts w:ascii="黑体" w:hAnsi="黑体" w:eastAsia="黑体"/>
          <w:bCs/>
          <w:sz w:val="32"/>
          <w:szCs w:val="32"/>
        </w:rPr>
      </w:pPr>
      <w:r>
        <w:rPr>
          <w:rFonts w:hint="eastAsia" w:ascii="仿宋_GB2312" w:hAnsi="Times New Roman" w:eastAsia="仿宋_GB2312"/>
          <w:bCs/>
          <w:sz w:val="32"/>
          <w:szCs w:val="32"/>
        </w:rPr>
        <w:t xml:space="preserve">   </w:t>
      </w:r>
      <w:r>
        <w:rPr>
          <w:rFonts w:hint="eastAsia" w:ascii="黑体" w:hAnsi="黑体" w:eastAsia="黑体"/>
          <w:bCs/>
          <w:sz w:val="32"/>
          <w:szCs w:val="32"/>
        </w:rPr>
        <w:t xml:space="preserve"> 二十九、冠心病</w:t>
      </w:r>
    </w:p>
    <w:p w14:paraId="41B51676">
      <w:pPr>
        <w:overflowPunct w:val="0"/>
        <w:autoSpaceDE w:val="0"/>
        <w:autoSpaceDN w:val="0"/>
        <w:adjustRightInd w:val="0"/>
        <w:snapToGrid w:val="0"/>
        <w:spacing w:line="570" w:lineRule="exact"/>
        <w:ind w:firstLine="640" w:firstLineChars="200"/>
        <w:rPr>
          <w:rFonts w:ascii="楷体_GB2312" w:hAnsi="Times New Roman" w:eastAsia="楷体_GB2312"/>
          <w:bCs/>
          <w:sz w:val="32"/>
          <w:szCs w:val="32"/>
        </w:rPr>
      </w:pPr>
      <w:r>
        <w:rPr>
          <w:rFonts w:hint="eastAsia" w:ascii="楷体_GB2312" w:hAnsi="Times New Roman" w:eastAsia="楷体_GB2312"/>
          <w:bCs/>
          <w:sz w:val="32"/>
          <w:szCs w:val="32"/>
        </w:rPr>
        <w:t>（一）申报资料</w:t>
      </w:r>
    </w:p>
    <w:p w14:paraId="3041F5A0">
      <w:pPr>
        <w:overflowPunct w:val="0"/>
        <w:autoSpaceDE w:val="0"/>
        <w:autoSpaceDN w:val="0"/>
        <w:adjustRightInd w:val="0"/>
        <w:snapToGrid w:val="0"/>
        <w:spacing w:line="570" w:lineRule="exact"/>
        <w:rPr>
          <w:rFonts w:ascii="仿宋_GB2312" w:hAnsi="Times New Roman" w:eastAsia="仿宋_GB2312"/>
          <w:kern w:val="0"/>
          <w:sz w:val="32"/>
          <w:szCs w:val="32"/>
        </w:rPr>
      </w:pPr>
      <w:r>
        <w:rPr>
          <w:rFonts w:hint="eastAsia" w:ascii="仿宋_GB2312" w:hAnsi="Times New Roman" w:eastAsia="仿宋_GB2312"/>
          <w:sz w:val="32"/>
          <w:szCs w:val="32"/>
        </w:rPr>
        <w:t xml:space="preserve">    </w:t>
      </w:r>
      <w:r>
        <w:rPr>
          <w:rFonts w:hint="eastAsia" w:ascii="仿宋_GB2312" w:hAnsi="Times New Roman" w:eastAsia="仿宋_GB2312"/>
          <w:kern w:val="0"/>
          <w:sz w:val="32"/>
          <w:szCs w:val="32"/>
        </w:rPr>
        <w:t>1.</w:t>
      </w:r>
      <w:r>
        <w:rPr>
          <w:rFonts w:hint="eastAsia" w:ascii="仿宋_GB2312" w:hAnsi="Times New Roman" w:eastAsia="仿宋_GB2312"/>
          <w:sz w:val="32"/>
          <w:szCs w:val="32"/>
        </w:rPr>
        <w:t>医保定点医疗机构</w:t>
      </w:r>
      <w:r>
        <w:rPr>
          <w:rFonts w:hint="eastAsia" w:ascii="仿宋_GB2312" w:hAnsi="仿宋_GB2312" w:eastAsia="仿宋_GB2312"/>
          <w:kern w:val="0"/>
          <w:sz w:val="32"/>
          <w:szCs w:val="32"/>
        </w:rPr>
        <w:t>患者本人病历（包括二级以上定点医疗机构门诊或住院病历复印件；</w:t>
      </w:r>
    </w:p>
    <w:p w14:paraId="1AE15184">
      <w:pPr>
        <w:overflowPunct w:val="0"/>
        <w:autoSpaceDE w:val="0"/>
        <w:autoSpaceDN w:val="0"/>
        <w:adjustRightInd w:val="0"/>
        <w:snapToGrid w:val="0"/>
        <w:spacing w:line="570" w:lineRule="exact"/>
        <w:rPr>
          <w:rFonts w:ascii="仿宋_GB2312" w:hAnsi="Times New Roman" w:eastAsia="仿宋_GB2312"/>
          <w:kern w:val="0"/>
          <w:sz w:val="32"/>
          <w:szCs w:val="32"/>
        </w:rPr>
      </w:pPr>
      <w:r>
        <w:rPr>
          <w:rFonts w:hint="eastAsia" w:ascii="仿宋_GB2312" w:hAnsi="Times New Roman" w:eastAsia="仿宋_GB2312"/>
          <w:kern w:val="0"/>
          <w:sz w:val="32"/>
          <w:szCs w:val="32"/>
        </w:rPr>
        <w:t xml:space="preserve">    2.</w:t>
      </w:r>
      <w:r>
        <w:rPr>
          <w:rFonts w:hint="eastAsia" w:ascii="仿宋_GB2312" w:hAnsi="仿宋_GB2312" w:eastAsia="仿宋_GB2312"/>
          <w:kern w:val="0"/>
          <w:sz w:val="32"/>
          <w:szCs w:val="32"/>
        </w:rPr>
        <w:t>有关临床资料，包括病史、症状、体征等；</w:t>
      </w:r>
    </w:p>
    <w:p w14:paraId="24B7E971">
      <w:pPr>
        <w:overflowPunct w:val="0"/>
        <w:autoSpaceDE w:val="0"/>
        <w:autoSpaceDN w:val="0"/>
        <w:adjustRightInd w:val="0"/>
        <w:snapToGrid w:val="0"/>
        <w:spacing w:line="570" w:lineRule="exact"/>
        <w:rPr>
          <w:rFonts w:ascii="仿宋_GB2312" w:hAnsi="Times New Roman" w:eastAsia="仿宋_GB2312"/>
          <w:kern w:val="0"/>
          <w:sz w:val="32"/>
          <w:szCs w:val="32"/>
        </w:rPr>
      </w:pPr>
      <w:r>
        <w:rPr>
          <w:rFonts w:hint="eastAsia" w:ascii="仿宋_GB2312" w:hAnsi="Times New Roman" w:eastAsia="仿宋_GB2312"/>
          <w:kern w:val="0"/>
          <w:sz w:val="32"/>
          <w:szCs w:val="32"/>
        </w:rPr>
        <w:t xml:space="preserve">    3.</w:t>
      </w:r>
      <w:r>
        <w:rPr>
          <w:rFonts w:hint="eastAsia" w:ascii="仿宋_GB2312" w:hAnsi="仿宋_GB2312" w:eastAsia="仿宋_GB2312"/>
          <w:kern w:val="0"/>
          <w:sz w:val="32"/>
          <w:szCs w:val="32"/>
        </w:rPr>
        <w:t>心电图、运动负荷试验、超声心动图、冠脉造影</w:t>
      </w:r>
      <w:r>
        <w:rPr>
          <w:rFonts w:hint="eastAsia" w:ascii="仿宋_GB2312" w:hAnsi="Times New Roman" w:eastAsia="仿宋_GB2312"/>
          <w:kern w:val="0"/>
          <w:sz w:val="32"/>
          <w:szCs w:val="32"/>
        </w:rPr>
        <w:t>/</w:t>
      </w:r>
      <w:r>
        <w:rPr>
          <w:rFonts w:hint="eastAsia" w:ascii="仿宋_GB2312" w:hAnsi="仿宋_GB2312" w:eastAsia="仿宋_GB2312"/>
          <w:kern w:val="0"/>
          <w:sz w:val="32"/>
          <w:szCs w:val="32"/>
        </w:rPr>
        <w:t>冠脉</w:t>
      </w:r>
      <w:r>
        <w:rPr>
          <w:rFonts w:hint="eastAsia" w:ascii="仿宋_GB2312" w:hAnsi="Times New Roman" w:eastAsia="仿宋_GB2312"/>
          <w:kern w:val="0"/>
          <w:sz w:val="32"/>
          <w:szCs w:val="32"/>
        </w:rPr>
        <w:t>CTA</w:t>
      </w:r>
      <w:r>
        <w:rPr>
          <w:rFonts w:hint="eastAsia" w:ascii="仿宋_GB2312" w:hAnsi="仿宋_GB2312" w:eastAsia="仿宋_GB2312"/>
          <w:kern w:val="0"/>
          <w:sz w:val="32"/>
          <w:szCs w:val="32"/>
        </w:rPr>
        <w:t>等影像资料；</w:t>
      </w:r>
    </w:p>
    <w:p w14:paraId="2114F6A5">
      <w:pPr>
        <w:overflowPunct w:val="0"/>
        <w:autoSpaceDE w:val="0"/>
        <w:autoSpaceDN w:val="0"/>
        <w:adjustRightInd w:val="0"/>
        <w:snapToGrid w:val="0"/>
        <w:spacing w:line="570" w:lineRule="exact"/>
        <w:rPr>
          <w:rFonts w:ascii="仿宋_GB2312" w:hAnsi="Times New Roman" w:eastAsia="仿宋_GB2312"/>
          <w:kern w:val="0"/>
          <w:sz w:val="32"/>
          <w:szCs w:val="32"/>
        </w:rPr>
      </w:pPr>
      <w:r>
        <w:rPr>
          <w:rFonts w:hint="eastAsia" w:ascii="仿宋_GB2312" w:hAnsi="Times New Roman" w:eastAsia="仿宋_GB2312"/>
          <w:kern w:val="0"/>
          <w:sz w:val="32"/>
          <w:szCs w:val="32"/>
        </w:rPr>
        <w:t xml:space="preserve">    4.</w:t>
      </w:r>
      <w:r>
        <w:rPr>
          <w:rFonts w:hint="eastAsia" w:ascii="仿宋_GB2312" w:hAnsi="仿宋_GB2312" w:eastAsia="仿宋_GB2312"/>
          <w:kern w:val="0"/>
          <w:sz w:val="32"/>
          <w:szCs w:val="32"/>
        </w:rPr>
        <w:t>血液生化资料（主要指血糖、血脂、肝肾功能等资料）；</w:t>
      </w:r>
    </w:p>
    <w:p w14:paraId="529B6CE1">
      <w:pPr>
        <w:overflowPunct w:val="0"/>
        <w:autoSpaceDE w:val="0"/>
        <w:autoSpaceDN w:val="0"/>
        <w:adjustRightInd w:val="0"/>
        <w:snapToGrid w:val="0"/>
        <w:spacing w:line="570" w:lineRule="exact"/>
        <w:rPr>
          <w:rFonts w:ascii="仿宋_GB2312" w:hAnsi="Times New Roman" w:eastAsia="仿宋_GB2312"/>
          <w:kern w:val="0"/>
          <w:sz w:val="32"/>
          <w:szCs w:val="32"/>
        </w:rPr>
      </w:pPr>
      <w:r>
        <w:rPr>
          <w:rFonts w:hint="eastAsia" w:ascii="仿宋_GB2312" w:hAnsi="Times New Roman" w:eastAsia="仿宋_GB2312"/>
          <w:kern w:val="0"/>
          <w:sz w:val="32"/>
          <w:szCs w:val="32"/>
        </w:rPr>
        <w:t xml:space="preserve">    5.</w:t>
      </w:r>
      <w:r>
        <w:rPr>
          <w:rFonts w:hint="eastAsia" w:ascii="仿宋_GB2312" w:hAnsi="Times New Roman" w:eastAsia="仿宋_GB2312"/>
          <w:sz w:val="32"/>
          <w:szCs w:val="32"/>
        </w:rPr>
        <w:t>医保定点医疗机构</w:t>
      </w:r>
      <w:r>
        <w:rPr>
          <w:rFonts w:hint="eastAsia" w:ascii="仿宋_GB2312" w:hAnsi="仿宋_GB2312" w:eastAsia="仿宋_GB2312"/>
          <w:kern w:val="0"/>
          <w:sz w:val="32"/>
          <w:szCs w:val="32"/>
        </w:rPr>
        <w:t>专科主治医师以上医生为患者制定的治疗计划。</w:t>
      </w:r>
    </w:p>
    <w:p w14:paraId="220E7A89">
      <w:pPr>
        <w:overflowPunct w:val="0"/>
        <w:autoSpaceDE w:val="0"/>
        <w:autoSpaceDN w:val="0"/>
        <w:adjustRightInd w:val="0"/>
        <w:snapToGrid w:val="0"/>
        <w:spacing w:line="570" w:lineRule="exact"/>
        <w:ind w:firstLine="640" w:firstLineChars="200"/>
        <w:rPr>
          <w:rFonts w:ascii="楷体_GB2312" w:hAnsi="Times New Roman" w:eastAsia="楷体_GB2312"/>
          <w:bCs/>
          <w:sz w:val="32"/>
          <w:szCs w:val="32"/>
        </w:rPr>
      </w:pPr>
      <w:r>
        <w:rPr>
          <w:rFonts w:hint="eastAsia" w:ascii="楷体_GB2312" w:hAnsi="Times New Roman" w:eastAsia="楷体_GB2312"/>
          <w:bCs/>
          <w:sz w:val="32"/>
          <w:szCs w:val="32"/>
        </w:rPr>
        <w:t>（二）治疗指征（认定标准）</w:t>
      </w:r>
    </w:p>
    <w:p w14:paraId="6754AC55">
      <w:pPr>
        <w:overflowPunct w:val="0"/>
        <w:autoSpaceDE w:val="0"/>
        <w:autoSpaceDN w:val="0"/>
        <w:adjustRightInd w:val="0"/>
        <w:snapToGrid w:val="0"/>
        <w:spacing w:line="570" w:lineRule="exact"/>
        <w:ind w:firstLine="640"/>
        <w:rPr>
          <w:rFonts w:ascii="仿宋_GB2312" w:hAnsi="Times New Roman" w:eastAsia="仿宋_GB2312"/>
          <w:kern w:val="0"/>
          <w:sz w:val="32"/>
          <w:szCs w:val="32"/>
        </w:rPr>
      </w:pPr>
      <w:r>
        <w:rPr>
          <w:rFonts w:hint="eastAsia" w:ascii="仿宋_GB2312" w:hAnsi="仿宋_GB2312" w:eastAsia="仿宋_GB2312"/>
          <w:kern w:val="0"/>
          <w:sz w:val="32"/>
          <w:szCs w:val="32"/>
        </w:rPr>
        <w:t>经二级及以上医院确诊，并符合下列情况之一：</w:t>
      </w:r>
    </w:p>
    <w:p w14:paraId="76DDA2A8">
      <w:pPr>
        <w:overflowPunct w:val="0"/>
        <w:autoSpaceDE w:val="0"/>
        <w:autoSpaceDN w:val="0"/>
        <w:adjustRightInd w:val="0"/>
        <w:snapToGrid w:val="0"/>
        <w:spacing w:line="570" w:lineRule="exact"/>
        <w:rPr>
          <w:rFonts w:ascii="仿宋_GB2312" w:hAnsi="Times New Roman" w:eastAsia="仿宋_GB2312"/>
          <w:kern w:val="0"/>
          <w:sz w:val="32"/>
          <w:szCs w:val="32"/>
        </w:rPr>
      </w:pPr>
      <w:r>
        <w:rPr>
          <w:rFonts w:hint="eastAsia" w:ascii="仿宋_GB2312" w:hAnsi="Times New Roman" w:eastAsia="仿宋_GB2312"/>
          <w:kern w:val="0"/>
          <w:sz w:val="32"/>
          <w:szCs w:val="32"/>
        </w:rPr>
        <w:t xml:space="preserve">    1.</w:t>
      </w:r>
      <w:r>
        <w:rPr>
          <w:rFonts w:hint="eastAsia" w:ascii="仿宋_GB2312" w:hAnsi="仿宋_GB2312" w:eastAsia="仿宋_GB2312"/>
          <w:kern w:val="0"/>
          <w:sz w:val="32"/>
          <w:szCs w:val="32"/>
        </w:rPr>
        <w:t>心电图、</w:t>
      </w:r>
      <w:r>
        <w:rPr>
          <w:rFonts w:hint="eastAsia" w:ascii="仿宋_GB2312" w:hAnsi="Times New Roman" w:eastAsia="仿宋_GB2312"/>
          <w:kern w:val="0"/>
          <w:sz w:val="32"/>
          <w:szCs w:val="32"/>
        </w:rPr>
        <w:t>24</w:t>
      </w:r>
      <w:r>
        <w:rPr>
          <w:rFonts w:hint="eastAsia" w:ascii="仿宋_GB2312" w:hAnsi="仿宋_GB2312" w:eastAsia="仿宋_GB2312"/>
          <w:kern w:val="0"/>
          <w:sz w:val="32"/>
          <w:szCs w:val="32"/>
        </w:rPr>
        <w:t>小时动态心电图、心脏负荷试验或心肌损伤标志物（心肌酶谱或肌钙蛋白）检查，符合冠心病特征的；</w:t>
      </w:r>
    </w:p>
    <w:p w14:paraId="41536BC2">
      <w:pPr>
        <w:overflowPunct w:val="0"/>
        <w:autoSpaceDE w:val="0"/>
        <w:autoSpaceDN w:val="0"/>
        <w:adjustRightInd w:val="0"/>
        <w:snapToGrid w:val="0"/>
        <w:spacing w:line="570" w:lineRule="exact"/>
        <w:rPr>
          <w:rFonts w:ascii="仿宋_GB2312" w:hAnsi="Times New Roman" w:eastAsia="仿宋_GB2312"/>
          <w:kern w:val="0"/>
          <w:sz w:val="32"/>
          <w:szCs w:val="32"/>
        </w:rPr>
      </w:pPr>
      <w:r>
        <w:rPr>
          <w:rFonts w:hint="eastAsia" w:ascii="仿宋_GB2312" w:hAnsi="Times New Roman" w:eastAsia="仿宋_GB2312"/>
          <w:kern w:val="0"/>
          <w:sz w:val="32"/>
          <w:szCs w:val="32"/>
        </w:rPr>
        <w:t xml:space="preserve">    2.</w:t>
      </w:r>
      <w:r>
        <w:rPr>
          <w:rFonts w:hint="eastAsia" w:ascii="仿宋_GB2312" w:hAnsi="仿宋_GB2312" w:eastAsia="仿宋_GB2312"/>
          <w:kern w:val="0"/>
          <w:sz w:val="32"/>
          <w:szCs w:val="32"/>
        </w:rPr>
        <w:t>典型临床表现，结合心电图符合急性心肌梗死特征，或经冠脉造影</w:t>
      </w:r>
      <w:r>
        <w:rPr>
          <w:rFonts w:hint="eastAsia" w:ascii="仿宋_GB2312" w:hAnsi="Times New Roman" w:eastAsia="仿宋_GB2312"/>
          <w:kern w:val="0"/>
          <w:sz w:val="32"/>
          <w:szCs w:val="32"/>
        </w:rPr>
        <w:t>/</w:t>
      </w:r>
      <w:r>
        <w:rPr>
          <w:rFonts w:hint="eastAsia" w:ascii="仿宋_GB2312" w:hAnsi="仿宋_GB2312" w:eastAsia="仿宋_GB2312"/>
          <w:kern w:val="0"/>
          <w:sz w:val="32"/>
          <w:szCs w:val="32"/>
        </w:rPr>
        <w:t>冠脉</w:t>
      </w:r>
      <w:r>
        <w:rPr>
          <w:rFonts w:hint="eastAsia" w:ascii="仿宋_GB2312" w:hAnsi="Times New Roman" w:eastAsia="仿宋_GB2312"/>
          <w:kern w:val="0"/>
          <w:sz w:val="32"/>
          <w:szCs w:val="32"/>
        </w:rPr>
        <w:t>CTA</w:t>
      </w:r>
      <w:r>
        <w:rPr>
          <w:rFonts w:hint="eastAsia" w:ascii="仿宋_GB2312" w:hAnsi="仿宋_GB2312" w:eastAsia="仿宋_GB2312"/>
          <w:kern w:val="0"/>
          <w:sz w:val="32"/>
          <w:szCs w:val="32"/>
        </w:rPr>
        <w:t>检查显示冠状动脉主干或其主要分支直径狭窄</w:t>
      </w:r>
      <w:r>
        <w:rPr>
          <w:rFonts w:hint="eastAsia" w:ascii="仿宋_GB2312" w:hAnsi="Times New Roman" w:eastAsia="仿宋_GB2312"/>
          <w:kern w:val="0"/>
          <w:sz w:val="32"/>
          <w:szCs w:val="32"/>
        </w:rPr>
        <w:t>≥50%</w:t>
      </w:r>
      <w:r>
        <w:rPr>
          <w:rFonts w:hint="eastAsia" w:ascii="仿宋_GB2312" w:hAnsi="仿宋_GB2312" w:eastAsia="仿宋_GB2312"/>
          <w:kern w:val="0"/>
          <w:sz w:val="32"/>
          <w:szCs w:val="32"/>
        </w:rPr>
        <w:t>。</w:t>
      </w:r>
    </w:p>
    <w:p w14:paraId="2FD8F410">
      <w:pPr>
        <w:overflowPunct w:val="0"/>
        <w:autoSpaceDE w:val="0"/>
        <w:autoSpaceDN w:val="0"/>
        <w:adjustRightInd w:val="0"/>
        <w:snapToGrid w:val="0"/>
        <w:spacing w:line="570" w:lineRule="exact"/>
        <w:ind w:firstLine="640" w:firstLineChars="200"/>
        <w:rPr>
          <w:rFonts w:ascii="楷体_GB2312" w:hAnsi="Times New Roman" w:eastAsia="楷体_GB2312"/>
          <w:bCs/>
          <w:sz w:val="32"/>
          <w:szCs w:val="32"/>
        </w:rPr>
      </w:pPr>
      <w:r>
        <w:rPr>
          <w:rFonts w:hint="eastAsia" w:ascii="楷体_GB2312" w:hAnsi="Times New Roman" w:eastAsia="楷体_GB2312"/>
          <w:bCs/>
          <w:sz w:val="32"/>
          <w:szCs w:val="32"/>
        </w:rPr>
        <w:t>（三）门诊诊疗范围</w:t>
      </w:r>
    </w:p>
    <w:p w14:paraId="21A83A56">
      <w:pPr>
        <w:overflowPunct w:val="0"/>
        <w:autoSpaceDE w:val="0"/>
        <w:autoSpaceDN w:val="0"/>
        <w:adjustRightInd w:val="0"/>
        <w:snapToGrid w:val="0"/>
        <w:spacing w:line="570" w:lineRule="exact"/>
        <w:rPr>
          <w:rFonts w:ascii="仿宋_GB2312" w:hAnsi="Times New Roman" w:eastAsia="仿宋_GB2312"/>
          <w:sz w:val="32"/>
          <w:szCs w:val="32"/>
        </w:rPr>
      </w:pPr>
      <w:r>
        <w:rPr>
          <w:rFonts w:hint="eastAsia" w:ascii="仿宋_GB2312" w:hAnsi="Times New Roman" w:eastAsia="仿宋_GB2312"/>
          <w:sz w:val="32"/>
          <w:szCs w:val="32"/>
        </w:rPr>
        <w:t xml:space="preserve">    1.</w:t>
      </w:r>
      <w:r>
        <w:rPr>
          <w:rFonts w:hint="eastAsia" w:ascii="仿宋_GB2312" w:hAnsi="仿宋_GB2312" w:eastAsia="仿宋_GB2312"/>
          <w:sz w:val="32"/>
          <w:szCs w:val="32"/>
        </w:rPr>
        <w:t>冠心病危险因素的治疗，包括控制高血压、调脂治疗等；</w:t>
      </w:r>
    </w:p>
    <w:p w14:paraId="4A9FA1ED">
      <w:pPr>
        <w:overflowPunct w:val="0"/>
        <w:autoSpaceDE w:val="0"/>
        <w:autoSpaceDN w:val="0"/>
        <w:adjustRightInd w:val="0"/>
        <w:snapToGrid w:val="0"/>
        <w:spacing w:line="570" w:lineRule="exact"/>
        <w:rPr>
          <w:rFonts w:ascii="仿宋_GB2312" w:hAnsi="Times New Roman" w:eastAsia="仿宋_GB2312"/>
          <w:sz w:val="32"/>
          <w:szCs w:val="32"/>
        </w:rPr>
      </w:pPr>
      <w:r>
        <w:rPr>
          <w:rFonts w:hint="eastAsia" w:ascii="仿宋_GB2312" w:hAnsi="Times New Roman" w:eastAsia="仿宋_GB2312"/>
          <w:sz w:val="32"/>
          <w:szCs w:val="32"/>
        </w:rPr>
        <w:t xml:space="preserve">    2.</w:t>
      </w:r>
      <w:r>
        <w:rPr>
          <w:rFonts w:hint="eastAsia" w:ascii="仿宋_GB2312" w:hAnsi="仿宋_GB2312" w:eastAsia="仿宋_GB2312"/>
          <w:sz w:val="32"/>
          <w:szCs w:val="32"/>
        </w:rPr>
        <w:t>缓解心绞痛，包括硝酸酯类制剂、</w:t>
      </w:r>
      <w:r>
        <w:rPr>
          <w:rFonts w:hint="eastAsia" w:ascii="仿宋_GB2312" w:hAnsi="Times New Roman" w:eastAsia="仿宋_GB2312"/>
          <w:sz w:val="32"/>
          <w:szCs w:val="32"/>
        </w:rPr>
        <w:t>β</w:t>
      </w:r>
      <w:r>
        <w:rPr>
          <w:rFonts w:hint="eastAsia" w:ascii="仿宋_GB2312" w:hAnsi="仿宋_GB2312" w:eastAsia="仿宋_GB2312"/>
          <w:sz w:val="32"/>
          <w:szCs w:val="32"/>
        </w:rPr>
        <w:t>阻滞剂以及活血化淤中药；</w:t>
      </w:r>
    </w:p>
    <w:p w14:paraId="6CC720B8">
      <w:pPr>
        <w:overflowPunct w:val="0"/>
        <w:autoSpaceDE w:val="0"/>
        <w:autoSpaceDN w:val="0"/>
        <w:adjustRightInd w:val="0"/>
        <w:snapToGrid w:val="0"/>
        <w:spacing w:line="570" w:lineRule="exact"/>
        <w:rPr>
          <w:rFonts w:ascii="仿宋_GB2312" w:hAnsi="Times New Roman" w:eastAsia="仿宋_GB2312"/>
          <w:sz w:val="32"/>
          <w:szCs w:val="32"/>
        </w:rPr>
      </w:pPr>
      <w:r>
        <w:rPr>
          <w:rFonts w:hint="eastAsia" w:ascii="仿宋_GB2312" w:hAnsi="Times New Roman" w:eastAsia="仿宋_GB2312"/>
          <w:sz w:val="32"/>
          <w:szCs w:val="32"/>
        </w:rPr>
        <w:t xml:space="preserve">    3.</w:t>
      </w:r>
      <w:r>
        <w:rPr>
          <w:rFonts w:hint="eastAsia" w:ascii="仿宋_GB2312" w:hAnsi="仿宋_GB2312" w:eastAsia="仿宋_GB2312"/>
          <w:sz w:val="32"/>
          <w:szCs w:val="32"/>
        </w:rPr>
        <w:t>抗血小板治疗；</w:t>
      </w:r>
    </w:p>
    <w:p w14:paraId="1006460C">
      <w:pPr>
        <w:overflowPunct w:val="0"/>
        <w:autoSpaceDE w:val="0"/>
        <w:autoSpaceDN w:val="0"/>
        <w:adjustRightInd w:val="0"/>
        <w:snapToGrid w:val="0"/>
        <w:spacing w:line="570" w:lineRule="exact"/>
        <w:rPr>
          <w:rFonts w:ascii="仿宋_GB2312" w:hAnsi="Times New Roman" w:eastAsia="仿宋_GB2312"/>
          <w:sz w:val="32"/>
          <w:szCs w:val="32"/>
        </w:rPr>
      </w:pPr>
      <w:r>
        <w:rPr>
          <w:rFonts w:hint="eastAsia" w:ascii="仿宋_GB2312" w:hAnsi="Times New Roman" w:eastAsia="仿宋_GB2312"/>
          <w:sz w:val="32"/>
          <w:szCs w:val="32"/>
        </w:rPr>
        <w:t xml:space="preserve">    4.</w:t>
      </w:r>
      <w:r>
        <w:rPr>
          <w:rFonts w:hint="eastAsia" w:ascii="仿宋_GB2312" w:hAnsi="仿宋_GB2312" w:eastAsia="仿宋_GB2312"/>
          <w:sz w:val="32"/>
          <w:szCs w:val="32"/>
        </w:rPr>
        <w:t>抗心律失常治疗。</w:t>
      </w:r>
    </w:p>
    <w:p w14:paraId="04E35087">
      <w:pPr>
        <w:overflowPunct w:val="0"/>
        <w:autoSpaceDE w:val="0"/>
        <w:autoSpaceDN w:val="0"/>
        <w:adjustRightInd w:val="0"/>
        <w:snapToGrid w:val="0"/>
        <w:spacing w:line="570" w:lineRule="exact"/>
        <w:ind w:firstLine="640" w:firstLineChars="200"/>
        <w:rPr>
          <w:rFonts w:ascii="楷体_GB2312" w:hAnsi="Times New Roman" w:eastAsia="楷体_GB2312"/>
          <w:bCs/>
          <w:sz w:val="32"/>
          <w:szCs w:val="32"/>
        </w:rPr>
      </w:pPr>
      <w:r>
        <w:rPr>
          <w:rFonts w:hint="eastAsia" w:ascii="楷体_GB2312" w:hAnsi="Times New Roman" w:eastAsia="楷体_GB2312"/>
          <w:bCs/>
          <w:sz w:val="32"/>
          <w:szCs w:val="32"/>
        </w:rPr>
        <w:t>（四）复审期限</w:t>
      </w:r>
    </w:p>
    <w:p w14:paraId="784CC084">
      <w:pPr>
        <w:pStyle w:val="12"/>
        <w:widowControl w:val="0"/>
        <w:overflowPunct w:val="0"/>
        <w:autoSpaceDE w:val="0"/>
        <w:autoSpaceDN w:val="0"/>
        <w:adjustRightInd w:val="0"/>
        <w:snapToGrid w:val="0"/>
        <w:spacing w:line="570" w:lineRule="exact"/>
        <w:jc w:val="both"/>
        <w:rPr>
          <w:rFonts w:ascii="仿宋_GB2312" w:hAnsi="Times New Roman" w:eastAsia="仿宋_GB2312"/>
          <w:sz w:val="32"/>
          <w:szCs w:val="32"/>
        </w:rPr>
      </w:pPr>
      <w:r>
        <w:rPr>
          <w:rFonts w:hint="eastAsia" w:ascii="仿宋_GB2312" w:hAnsi="Times New Roman" w:eastAsia="仿宋_GB2312"/>
          <w:bCs/>
          <w:sz w:val="32"/>
          <w:szCs w:val="32"/>
        </w:rPr>
        <w:t xml:space="preserve">   </w:t>
      </w:r>
      <w:r>
        <w:rPr>
          <w:rFonts w:hint="eastAsia" w:ascii="仿宋_GB2312" w:hAnsi="仿宋_GB2312" w:eastAsia="仿宋_GB2312"/>
          <w:bCs/>
          <w:sz w:val="32"/>
          <w:szCs w:val="32"/>
        </w:rPr>
        <w:t>每</w:t>
      </w:r>
      <w:r>
        <w:rPr>
          <w:rFonts w:hint="eastAsia" w:ascii="仿宋_GB2312" w:hAnsi="Times New Roman" w:eastAsia="仿宋_GB2312"/>
          <w:bCs/>
          <w:sz w:val="32"/>
          <w:szCs w:val="32"/>
        </w:rPr>
        <w:t>5</w:t>
      </w:r>
      <w:r>
        <w:rPr>
          <w:rFonts w:hint="eastAsia" w:ascii="仿宋_GB2312" w:hAnsi="仿宋_GB2312" w:eastAsia="仿宋_GB2312"/>
          <w:bCs/>
          <w:sz w:val="32"/>
          <w:szCs w:val="32"/>
        </w:rPr>
        <w:t>年复审一次。</w:t>
      </w:r>
    </w:p>
    <w:p w14:paraId="31D238FE">
      <w:pPr>
        <w:overflowPunct w:val="0"/>
        <w:autoSpaceDE w:val="0"/>
        <w:autoSpaceDN w:val="0"/>
        <w:adjustRightInd w:val="0"/>
        <w:snapToGrid w:val="0"/>
        <w:spacing w:line="570" w:lineRule="exact"/>
        <w:rPr>
          <w:rFonts w:ascii="黑体" w:hAnsi="黑体" w:eastAsia="黑体"/>
          <w:sz w:val="32"/>
          <w:szCs w:val="32"/>
        </w:rPr>
      </w:pPr>
      <w:r>
        <w:rPr>
          <w:rFonts w:hint="eastAsia" w:ascii="仿宋_GB2312" w:hAnsi="Times New Roman" w:eastAsia="仿宋_GB2312"/>
          <w:sz w:val="32"/>
          <w:szCs w:val="32"/>
        </w:rPr>
        <w:t xml:space="preserve">   </w:t>
      </w:r>
      <w:r>
        <w:rPr>
          <w:rFonts w:hint="eastAsia" w:ascii="黑体" w:hAnsi="黑体" w:eastAsia="黑体"/>
          <w:sz w:val="32"/>
          <w:szCs w:val="32"/>
        </w:rPr>
        <w:t xml:space="preserve"> 三十、慢性心力衰竭</w:t>
      </w:r>
    </w:p>
    <w:p w14:paraId="7FDA010E">
      <w:pPr>
        <w:overflowPunct w:val="0"/>
        <w:autoSpaceDE w:val="0"/>
        <w:autoSpaceDN w:val="0"/>
        <w:adjustRightInd w:val="0"/>
        <w:snapToGrid w:val="0"/>
        <w:spacing w:line="570" w:lineRule="exact"/>
        <w:ind w:firstLine="640" w:firstLineChars="200"/>
        <w:rPr>
          <w:rFonts w:ascii="楷体_GB2312" w:hAnsi="Times New Roman" w:eastAsia="楷体_GB2312"/>
          <w:bCs/>
          <w:sz w:val="32"/>
          <w:szCs w:val="32"/>
        </w:rPr>
      </w:pPr>
      <w:r>
        <w:rPr>
          <w:rFonts w:hint="eastAsia" w:ascii="楷体_GB2312" w:hAnsi="Times New Roman" w:eastAsia="楷体_GB2312"/>
          <w:bCs/>
          <w:sz w:val="32"/>
          <w:szCs w:val="32"/>
        </w:rPr>
        <w:t>（一）申报资料</w:t>
      </w:r>
    </w:p>
    <w:p w14:paraId="7C985E61">
      <w:pPr>
        <w:overflowPunct w:val="0"/>
        <w:autoSpaceDE w:val="0"/>
        <w:autoSpaceDN w:val="0"/>
        <w:adjustRightInd w:val="0"/>
        <w:snapToGrid w:val="0"/>
        <w:spacing w:line="570" w:lineRule="exact"/>
        <w:rPr>
          <w:rFonts w:ascii="仿宋_GB2312" w:hAnsi="Times New Roman" w:eastAsia="仿宋_GB2312"/>
          <w:kern w:val="0"/>
          <w:sz w:val="32"/>
          <w:szCs w:val="32"/>
        </w:rPr>
      </w:pPr>
      <w:r>
        <w:rPr>
          <w:rFonts w:hint="eastAsia" w:ascii="仿宋_GB2312" w:hAnsi="Times New Roman" w:eastAsia="仿宋_GB2312"/>
          <w:bCs/>
          <w:sz w:val="32"/>
          <w:szCs w:val="32"/>
        </w:rPr>
        <w:t xml:space="preserve">    1.</w:t>
      </w:r>
      <w:r>
        <w:rPr>
          <w:rFonts w:hint="eastAsia" w:ascii="仿宋_GB2312" w:hAnsi="Times New Roman" w:eastAsia="仿宋_GB2312"/>
          <w:sz w:val="32"/>
          <w:szCs w:val="32"/>
        </w:rPr>
        <w:t>医保定点医疗机构</w:t>
      </w:r>
      <w:r>
        <w:rPr>
          <w:rFonts w:hint="eastAsia" w:ascii="仿宋_GB2312" w:hAnsi="仿宋_GB2312" w:eastAsia="仿宋_GB2312"/>
          <w:kern w:val="0"/>
          <w:sz w:val="32"/>
          <w:szCs w:val="32"/>
        </w:rPr>
        <w:t>患者本人病历（完整住院病历复印件）及二级以上</w:t>
      </w:r>
      <w:r>
        <w:rPr>
          <w:rFonts w:hint="eastAsia" w:ascii="仿宋_GB2312" w:hAnsi="Times New Roman" w:eastAsia="仿宋_GB2312"/>
          <w:sz w:val="32"/>
          <w:szCs w:val="32"/>
        </w:rPr>
        <w:t>医保定点医疗机构</w:t>
      </w:r>
      <w:r>
        <w:rPr>
          <w:rFonts w:hint="eastAsia" w:ascii="仿宋_GB2312" w:hAnsi="仿宋_GB2312" w:eastAsia="仿宋_GB2312"/>
          <w:kern w:val="0"/>
          <w:sz w:val="32"/>
          <w:szCs w:val="32"/>
        </w:rPr>
        <w:t>指定副主任医师以上医生出具的疾病诊断证明；</w:t>
      </w:r>
    </w:p>
    <w:p w14:paraId="2D039FC6">
      <w:pPr>
        <w:pStyle w:val="5"/>
        <w:overflowPunct w:val="0"/>
        <w:autoSpaceDE w:val="0"/>
        <w:autoSpaceDN w:val="0"/>
        <w:adjustRightInd w:val="0"/>
        <w:snapToGrid w:val="0"/>
        <w:spacing w:after="0" w:line="570" w:lineRule="exact"/>
        <w:ind w:firstLine="640"/>
        <w:rPr>
          <w:rFonts w:ascii="仿宋_GB2312" w:hAnsi="Times New Roman" w:eastAsia="仿宋_GB2312"/>
          <w:sz w:val="32"/>
          <w:szCs w:val="32"/>
        </w:rPr>
      </w:pPr>
      <w:r>
        <w:rPr>
          <w:rFonts w:hint="eastAsia" w:ascii="仿宋_GB2312" w:hAnsi="Times New Roman" w:eastAsia="仿宋_GB2312"/>
          <w:sz w:val="32"/>
          <w:szCs w:val="32"/>
        </w:rPr>
        <w:t>2.</w:t>
      </w:r>
      <w:r>
        <w:rPr>
          <w:rFonts w:hint="eastAsia" w:ascii="仿宋_GB2312" w:hAnsi="仿宋_GB2312" w:eastAsia="仿宋_GB2312"/>
          <w:sz w:val="32"/>
          <w:szCs w:val="32"/>
        </w:rPr>
        <w:t>慢性心力衰竭的临床资料，包括病史、症状和体征、病因和诱因；</w:t>
      </w:r>
      <w:r>
        <w:rPr>
          <w:rFonts w:hint="eastAsia" w:ascii="仿宋_GB2312" w:hAnsi="Times New Roman" w:eastAsia="仿宋_GB2312"/>
          <w:sz w:val="32"/>
          <w:szCs w:val="32"/>
        </w:rPr>
        <w:t>NYHA</w:t>
      </w:r>
      <w:r>
        <w:rPr>
          <w:rFonts w:hint="eastAsia" w:ascii="仿宋_GB2312" w:hAnsi="仿宋_GB2312" w:eastAsia="仿宋_GB2312"/>
          <w:sz w:val="32"/>
          <w:szCs w:val="32"/>
        </w:rPr>
        <w:t>心功能Ⅱ</w:t>
      </w:r>
      <w:r>
        <w:rPr>
          <w:rFonts w:hint="eastAsia" w:ascii="仿宋_GB2312" w:hAnsi="Times New Roman" w:eastAsia="仿宋_GB2312"/>
          <w:sz w:val="32"/>
          <w:szCs w:val="32"/>
        </w:rPr>
        <w:t>-IV</w:t>
      </w:r>
      <w:r>
        <w:rPr>
          <w:rFonts w:hint="eastAsia" w:ascii="仿宋_GB2312" w:hAnsi="仿宋_GB2312" w:eastAsia="仿宋_GB2312"/>
          <w:sz w:val="32"/>
          <w:szCs w:val="32"/>
        </w:rPr>
        <w:t>；</w:t>
      </w:r>
    </w:p>
    <w:p w14:paraId="731F46D3">
      <w:pPr>
        <w:pStyle w:val="5"/>
        <w:overflowPunct w:val="0"/>
        <w:autoSpaceDE w:val="0"/>
        <w:autoSpaceDN w:val="0"/>
        <w:adjustRightInd w:val="0"/>
        <w:snapToGrid w:val="0"/>
        <w:spacing w:after="0" w:line="570" w:lineRule="exact"/>
        <w:ind w:firstLine="640"/>
        <w:rPr>
          <w:rFonts w:ascii="仿宋_GB2312" w:hAnsi="Times New Roman" w:eastAsia="仿宋_GB2312"/>
          <w:sz w:val="32"/>
          <w:szCs w:val="32"/>
        </w:rPr>
      </w:pPr>
      <w:r>
        <w:rPr>
          <w:rFonts w:hint="eastAsia" w:ascii="仿宋_GB2312" w:hAnsi="Times New Roman" w:eastAsia="仿宋_GB2312"/>
          <w:sz w:val="32"/>
          <w:szCs w:val="32"/>
        </w:rPr>
        <w:t>3.</w:t>
      </w:r>
      <w:r>
        <w:rPr>
          <w:rFonts w:hint="eastAsia" w:ascii="仿宋_GB2312" w:hAnsi="仿宋_GB2312" w:eastAsia="仿宋_GB2312"/>
          <w:sz w:val="32"/>
          <w:szCs w:val="32"/>
        </w:rPr>
        <w:t>原发心脏病的临床资料，包括病史、症状和体征及实验室检查资料；</w:t>
      </w:r>
      <w:r>
        <w:rPr>
          <w:rFonts w:hint="eastAsia" w:ascii="仿宋_GB2312" w:hAnsi="Times New Roman" w:eastAsia="仿宋_GB2312"/>
          <w:sz w:val="32"/>
          <w:szCs w:val="32"/>
        </w:rPr>
        <w:t>1</w:t>
      </w:r>
      <w:r>
        <w:rPr>
          <w:rFonts w:hint="eastAsia" w:ascii="仿宋_GB2312" w:hAnsi="仿宋_GB2312" w:eastAsia="仿宋_GB2312"/>
          <w:sz w:val="32"/>
          <w:szCs w:val="32"/>
        </w:rPr>
        <w:t>）相关的实验室检查（如心电图、超声心动图、</w:t>
      </w:r>
      <w:r>
        <w:rPr>
          <w:rFonts w:hint="eastAsia" w:ascii="仿宋_GB2312" w:hAnsi="Times New Roman" w:eastAsia="仿宋_GB2312"/>
          <w:sz w:val="32"/>
          <w:szCs w:val="32"/>
        </w:rPr>
        <w:t xml:space="preserve">X </w:t>
      </w:r>
      <w:r>
        <w:rPr>
          <w:rFonts w:hint="eastAsia" w:ascii="仿宋_GB2312" w:hAnsi="仿宋_GB2312" w:eastAsia="仿宋_GB2312"/>
          <w:sz w:val="32"/>
          <w:szCs w:val="32"/>
        </w:rPr>
        <w:t>线等）资料；</w:t>
      </w:r>
      <w:r>
        <w:rPr>
          <w:rFonts w:hint="eastAsia" w:ascii="仿宋_GB2312" w:hAnsi="Times New Roman" w:eastAsia="仿宋_GB2312"/>
          <w:sz w:val="32"/>
          <w:szCs w:val="32"/>
        </w:rPr>
        <w:t>2)</w:t>
      </w:r>
      <w:r>
        <w:rPr>
          <w:rFonts w:hint="eastAsia" w:ascii="仿宋_GB2312" w:hAnsi="仿宋_GB2312" w:eastAsia="仿宋_GB2312"/>
          <w:sz w:val="32"/>
          <w:szCs w:val="32"/>
        </w:rPr>
        <w:t>鉴别诊断的相关资料，排除</w:t>
      </w:r>
      <w:r>
        <w:rPr>
          <w:rFonts w:hint="eastAsia" w:ascii="仿宋_GB2312" w:hAnsi="Times New Roman" w:eastAsia="仿宋_GB2312"/>
          <w:sz w:val="32"/>
          <w:szCs w:val="32"/>
        </w:rPr>
        <w:t>COPO</w:t>
      </w:r>
      <w:r>
        <w:rPr>
          <w:rFonts w:hint="eastAsia" w:ascii="仿宋_GB2312" w:hAnsi="仿宋_GB2312" w:eastAsia="仿宋_GB2312"/>
          <w:sz w:val="32"/>
          <w:szCs w:val="32"/>
        </w:rPr>
        <w:t>、支气管哮喘等疾病。</w:t>
      </w:r>
    </w:p>
    <w:p w14:paraId="4EA19E00">
      <w:pPr>
        <w:overflowPunct w:val="0"/>
        <w:autoSpaceDE w:val="0"/>
        <w:autoSpaceDN w:val="0"/>
        <w:adjustRightInd w:val="0"/>
        <w:snapToGrid w:val="0"/>
        <w:spacing w:line="570" w:lineRule="exact"/>
        <w:ind w:firstLine="640" w:firstLineChars="200"/>
        <w:rPr>
          <w:rFonts w:ascii="楷体_GB2312" w:hAnsi="Times New Roman" w:eastAsia="楷体_GB2312"/>
          <w:bCs/>
          <w:sz w:val="32"/>
          <w:szCs w:val="32"/>
        </w:rPr>
      </w:pPr>
      <w:r>
        <w:rPr>
          <w:rFonts w:hint="eastAsia" w:ascii="楷体_GB2312" w:hAnsi="Times New Roman" w:eastAsia="楷体_GB2312"/>
          <w:bCs/>
          <w:sz w:val="32"/>
          <w:szCs w:val="32"/>
        </w:rPr>
        <w:t>（二）治疗指征（认定标准）</w:t>
      </w:r>
    </w:p>
    <w:p w14:paraId="0177E4FD">
      <w:pPr>
        <w:overflowPunct w:val="0"/>
        <w:autoSpaceDE w:val="0"/>
        <w:autoSpaceDN w:val="0"/>
        <w:adjustRightInd w:val="0"/>
        <w:snapToGrid w:val="0"/>
        <w:spacing w:line="570" w:lineRule="exact"/>
        <w:rPr>
          <w:rFonts w:ascii="仿宋_GB2312" w:hAnsi="Times New Roman" w:eastAsia="仿宋_GB2312"/>
          <w:kern w:val="0"/>
          <w:sz w:val="32"/>
          <w:szCs w:val="32"/>
        </w:rPr>
      </w:pPr>
      <w:r>
        <w:rPr>
          <w:rFonts w:hint="eastAsia" w:ascii="仿宋_GB2312" w:hAnsi="Times New Roman" w:eastAsia="仿宋_GB2312"/>
          <w:kern w:val="0"/>
          <w:sz w:val="32"/>
          <w:szCs w:val="32"/>
        </w:rPr>
        <w:t xml:space="preserve">    1.</w:t>
      </w:r>
      <w:r>
        <w:rPr>
          <w:rFonts w:hint="eastAsia" w:ascii="仿宋_GB2312" w:hAnsi="仿宋_GB2312" w:eastAsia="仿宋_GB2312"/>
          <w:kern w:val="0"/>
          <w:sz w:val="32"/>
          <w:szCs w:val="32"/>
        </w:rPr>
        <w:t>经二级及以上</w:t>
      </w:r>
      <w:r>
        <w:rPr>
          <w:rFonts w:hint="eastAsia" w:ascii="仿宋_GB2312" w:hAnsi="Times New Roman" w:eastAsia="仿宋_GB2312"/>
          <w:sz w:val="32"/>
          <w:szCs w:val="32"/>
        </w:rPr>
        <w:t>医保定点医疗机构</w:t>
      </w:r>
      <w:r>
        <w:rPr>
          <w:rFonts w:hint="eastAsia" w:ascii="仿宋_GB2312" w:hAnsi="仿宋_GB2312" w:eastAsia="仿宋_GB2312"/>
          <w:kern w:val="0"/>
          <w:sz w:val="32"/>
          <w:szCs w:val="32"/>
        </w:rPr>
        <w:t>确诊；</w:t>
      </w:r>
    </w:p>
    <w:p w14:paraId="6F0410AE">
      <w:pPr>
        <w:overflowPunct w:val="0"/>
        <w:autoSpaceDE w:val="0"/>
        <w:autoSpaceDN w:val="0"/>
        <w:adjustRightInd w:val="0"/>
        <w:snapToGrid w:val="0"/>
        <w:spacing w:line="570" w:lineRule="exact"/>
        <w:rPr>
          <w:rFonts w:ascii="仿宋_GB2312" w:hAnsi="Times New Roman" w:eastAsia="仿宋_GB2312"/>
          <w:kern w:val="0"/>
          <w:sz w:val="32"/>
          <w:szCs w:val="32"/>
        </w:rPr>
      </w:pPr>
      <w:r>
        <w:rPr>
          <w:rFonts w:hint="eastAsia" w:ascii="仿宋_GB2312" w:hAnsi="Times New Roman" w:eastAsia="仿宋_GB2312"/>
          <w:kern w:val="0"/>
          <w:sz w:val="32"/>
          <w:szCs w:val="32"/>
        </w:rPr>
        <w:t xml:space="preserve">    2.</w:t>
      </w:r>
      <w:r>
        <w:rPr>
          <w:rFonts w:hint="eastAsia" w:ascii="仿宋_GB2312" w:hAnsi="仿宋_GB2312" w:eastAsia="仿宋_GB2312"/>
          <w:kern w:val="0"/>
          <w:sz w:val="32"/>
          <w:szCs w:val="32"/>
        </w:rPr>
        <w:t>有心力衰竭症状或体征；左心室扩大或室壁肥厚，左心室射血分数下降（</w:t>
      </w:r>
      <w:r>
        <w:rPr>
          <w:rFonts w:hint="eastAsia" w:ascii="仿宋_GB2312" w:hAnsi="Times New Roman" w:eastAsia="仿宋_GB2312"/>
          <w:kern w:val="0"/>
          <w:sz w:val="32"/>
          <w:szCs w:val="32"/>
        </w:rPr>
        <w:t>EF&lt;50%</w:t>
      </w:r>
      <w:r>
        <w:rPr>
          <w:rFonts w:hint="eastAsia" w:ascii="仿宋_GB2312" w:hAnsi="仿宋_GB2312" w:eastAsia="仿宋_GB2312"/>
          <w:kern w:val="0"/>
          <w:sz w:val="32"/>
          <w:szCs w:val="32"/>
        </w:rPr>
        <w:t>）或保留（</w:t>
      </w:r>
      <w:r>
        <w:rPr>
          <w:rFonts w:hint="eastAsia" w:ascii="仿宋_GB2312" w:hAnsi="Times New Roman" w:eastAsia="仿宋_GB2312"/>
          <w:kern w:val="0"/>
          <w:sz w:val="32"/>
          <w:szCs w:val="32"/>
        </w:rPr>
        <w:t>EF</w:t>
      </w:r>
      <w:r>
        <w:rPr>
          <w:rFonts w:hint="eastAsia" w:ascii="宋体" w:hAnsi="宋体" w:cs="宋体"/>
          <w:kern w:val="0"/>
          <w:sz w:val="32"/>
          <w:szCs w:val="32"/>
        </w:rPr>
        <w:t>≧</w:t>
      </w:r>
      <w:r>
        <w:rPr>
          <w:rFonts w:hint="eastAsia" w:ascii="仿宋_GB2312" w:hAnsi="Times New Roman" w:eastAsia="仿宋_GB2312"/>
          <w:kern w:val="0"/>
          <w:sz w:val="32"/>
          <w:szCs w:val="32"/>
        </w:rPr>
        <w:t>50%</w:t>
      </w:r>
      <w:r>
        <w:rPr>
          <w:rFonts w:hint="eastAsia" w:ascii="仿宋_GB2312" w:hAnsi="仿宋_GB2312" w:eastAsia="仿宋_GB2312"/>
          <w:kern w:val="0"/>
          <w:sz w:val="32"/>
          <w:szCs w:val="32"/>
        </w:rPr>
        <w:t>）</w:t>
      </w:r>
      <w:r>
        <w:rPr>
          <w:rFonts w:hint="eastAsia" w:ascii="仿宋_GB2312" w:hAnsi="Times New Roman" w:eastAsia="仿宋_GB2312"/>
          <w:kern w:val="0"/>
          <w:sz w:val="32"/>
          <w:szCs w:val="32"/>
        </w:rPr>
        <w:t>, EF</w:t>
      </w:r>
      <w:r>
        <w:rPr>
          <w:rFonts w:hint="eastAsia" w:ascii="宋体" w:hAnsi="宋体" w:cs="宋体"/>
          <w:kern w:val="0"/>
          <w:sz w:val="32"/>
          <w:szCs w:val="32"/>
        </w:rPr>
        <w:t>≧</w:t>
      </w:r>
      <w:r>
        <w:rPr>
          <w:rFonts w:hint="eastAsia" w:ascii="仿宋_GB2312" w:hAnsi="Times New Roman" w:eastAsia="仿宋_GB2312"/>
          <w:kern w:val="0"/>
          <w:sz w:val="32"/>
          <w:szCs w:val="32"/>
        </w:rPr>
        <w:t>50%</w:t>
      </w:r>
      <w:r>
        <w:rPr>
          <w:rFonts w:hint="eastAsia" w:ascii="仿宋_GB2312" w:hAnsi="仿宋_GB2312" w:eastAsia="仿宋_GB2312"/>
          <w:kern w:val="0"/>
          <w:sz w:val="32"/>
          <w:szCs w:val="32"/>
        </w:rPr>
        <w:t>时需有心脏舒张功能减退的证据，包括</w:t>
      </w:r>
      <w:r>
        <w:rPr>
          <w:rFonts w:hint="eastAsia" w:ascii="仿宋_GB2312" w:hAnsi="Times New Roman" w:eastAsia="仿宋_GB2312"/>
          <w:kern w:val="0"/>
          <w:sz w:val="32"/>
          <w:szCs w:val="32"/>
        </w:rPr>
        <w:t>E/e’</w:t>
      </w:r>
      <w:r>
        <w:rPr>
          <w:rFonts w:hint="eastAsia" w:ascii="仿宋_GB2312" w:hAnsi="仿宋_GB2312" w:eastAsia="仿宋_GB2312"/>
          <w:kern w:val="0"/>
          <w:sz w:val="32"/>
          <w:szCs w:val="32"/>
        </w:rPr>
        <w:t>升高、左心房容积增大、左心室质量增加、肺动脉高压等；血浆脑钠肽（</w:t>
      </w:r>
      <w:r>
        <w:rPr>
          <w:rFonts w:hint="eastAsia" w:ascii="仿宋_GB2312" w:hAnsi="Times New Roman" w:eastAsia="仿宋_GB2312"/>
          <w:kern w:val="0"/>
          <w:sz w:val="32"/>
          <w:szCs w:val="32"/>
        </w:rPr>
        <w:t>BNP</w:t>
      </w:r>
      <w:r>
        <w:rPr>
          <w:rFonts w:hint="eastAsia" w:ascii="仿宋_GB2312" w:hAnsi="仿宋_GB2312" w:eastAsia="仿宋_GB2312"/>
          <w:kern w:val="0"/>
          <w:sz w:val="32"/>
          <w:szCs w:val="32"/>
        </w:rPr>
        <w:t>）和</w:t>
      </w:r>
      <w:r>
        <w:rPr>
          <w:rFonts w:hint="eastAsia" w:ascii="仿宋_GB2312" w:hAnsi="Times New Roman" w:eastAsia="仿宋_GB2312"/>
          <w:kern w:val="0"/>
          <w:sz w:val="32"/>
          <w:szCs w:val="32"/>
        </w:rPr>
        <w:t>N</w:t>
      </w:r>
      <w:r>
        <w:rPr>
          <w:rFonts w:hint="eastAsia" w:ascii="仿宋_GB2312" w:hAnsi="仿宋_GB2312" w:eastAsia="仿宋_GB2312"/>
          <w:kern w:val="0"/>
          <w:sz w:val="32"/>
          <w:szCs w:val="32"/>
        </w:rPr>
        <w:t>基末端脑钠肽前体（</w:t>
      </w:r>
      <w:r>
        <w:rPr>
          <w:rFonts w:hint="eastAsia" w:ascii="仿宋_GB2312" w:hAnsi="Times New Roman" w:eastAsia="仿宋_GB2312"/>
          <w:kern w:val="0"/>
          <w:sz w:val="32"/>
          <w:szCs w:val="32"/>
        </w:rPr>
        <w:t>NT-proBNP</w:t>
      </w:r>
      <w:r>
        <w:rPr>
          <w:rFonts w:hint="eastAsia" w:ascii="仿宋_GB2312" w:hAnsi="仿宋_GB2312" w:eastAsia="仿宋_GB2312"/>
          <w:kern w:val="0"/>
          <w:sz w:val="32"/>
          <w:szCs w:val="32"/>
        </w:rPr>
        <w:t>）升高。</w:t>
      </w:r>
    </w:p>
    <w:p w14:paraId="3B03F191">
      <w:pPr>
        <w:overflowPunct w:val="0"/>
        <w:autoSpaceDE w:val="0"/>
        <w:autoSpaceDN w:val="0"/>
        <w:adjustRightInd w:val="0"/>
        <w:snapToGrid w:val="0"/>
        <w:spacing w:line="570" w:lineRule="exact"/>
        <w:ind w:firstLine="640" w:firstLineChars="200"/>
        <w:rPr>
          <w:rFonts w:ascii="楷体_GB2312" w:hAnsi="Times New Roman" w:eastAsia="楷体_GB2312"/>
          <w:bCs/>
          <w:sz w:val="32"/>
          <w:szCs w:val="32"/>
        </w:rPr>
      </w:pPr>
      <w:r>
        <w:rPr>
          <w:rFonts w:hint="eastAsia" w:ascii="楷体_GB2312" w:hAnsi="Times New Roman" w:eastAsia="楷体_GB2312"/>
          <w:bCs/>
          <w:sz w:val="32"/>
          <w:szCs w:val="32"/>
        </w:rPr>
        <w:t>（三）门诊诊疗范围</w:t>
      </w:r>
    </w:p>
    <w:p w14:paraId="580B6827">
      <w:pPr>
        <w:overflowPunct w:val="0"/>
        <w:autoSpaceDE w:val="0"/>
        <w:autoSpaceDN w:val="0"/>
        <w:adjustRightInd w:val="0"/>
        <w:snapToGrid w:val="0"/>
        <w:spacing w:line="570" w:lineRule="exact"/>
        <w:rPr>
          <w:rFonts w:ascii="仿宋_GB2312" w:hAnsi="Times New Roman" w:eastAsia="仿宋_GB2312"/>
          <w:kern w:val="0"/>
          <w:sz w:val="32"/>
          <w:szCs w:val="32"/>
        </w:rPr>
      </w:pPr>
      <w:r>
        <w:rPr>
          <w:rFonts w:hint="eastAsia" w:ascii="仿宋_GB2312" w:hAnsi="Times New Roman" w:eastAsia="仿宋_GB2312"/>
          <w:sz w:val="32"/>
          <w:szCs w:val="32"/>
        </w:rPr>
        <w:t xml:space="preserve">   </w:t>
      </w:r>
      <w:r>
        <w:rPr>
          <w:rFonts w:hint="eastAsia" w:ascii="仿宋_GB2312" w:hAnsi="Times New Roman" w:eastAsia="仿宋_GB2312"/>
          <w:kern w:val="0"/>
          <w:sz w:val="32"/>
          <w:szCs w:val="32"/>
        </w:rPr>
        <w:t xml:space="preserve"> 1.</w:t>
      </w:r>
      <w:r>
        <w:rPr>
          <w:rFonts w:hint="eastAsia" w:ascii="仿宋_GB2312" w:hAnsi="仿宋_GB2312" w:eastAsia="仿宋_GB2312"/>
          <w:kern w:val="0"/>
          <w:sz w:val="32"/>
          <w:szCs w:val="32"/>
        </w:rPr>
        <w:t>抗心力衰竭药物治疗，包括利尿剂、</w:t>
      </w:r>
      <w:r>
        <w:rPr>
          <w:rFonts w:hint="eastAsia" w:ascii="仿宋_GB2312" w:hAnsi="Times New Roman" w:eastAsia="仿宋_GB2312"/>
          <w:kern w:val="0"/>
          <w:sz w:val="32"/>
          <w:szCs w:val="32"/>
        </w:rPr>
        <w:t>β</w:t>
      </w:r>
      <w:r>
        <w:rPr>
          <w:rFonts w:hint="eastAsia" w:ascii="仿宋_GB2312" w:hAnsi="仿宋_GB2312" w:eastAsia="仿宋_GB2312"/>
          <w:kern w:val="0"/>
          <w:sz w:val="32"/>
          <w:szCs w:val="32"/>
        </w:rPr>
        <w:t>阻滞剂、</w:t>
      </w:r>
      <w:r>
        <w:rPr>
          <w:rFonts w:hint="eastAsia" w:ascii="仿宋_GB2312" w:hAnsi="Times New Roman" w:eastAsia="仿宋_GB2312"/>
          <w:kern w:val="0"/>
          <w:sz w:val="32"/>
          <w:szCs w:val="32"/>
        </w:rPr>
        <w:t>ACEI</w:t>
      </w:r>
      <w:r>
        <w:rPr>
          <w:rFonts w:hint="eastAsia" w:ascii="仿宋_GB2312" w:hAnsi="仿宋_GB2312" w:eastAsia="仿宋_GB2312"/>
          <w:kern w:val="0"/>
          <w:sz w:val="32"/>
          <w:szCs w:val="32"/>
        </w:rPr>
        <w:t>，醛固酮拮抗剂、</w:t>
      </w:r>
      <w:r>
        <w:rPr>
          <w:rFonts w:hint="eastAsia" w:ascii="仿宋_GB2312" w:hAnsi="Times New Roman" w:eastAsia="仿宋_GB2312"/>
          <w:kern w:val="0"/>
          <w:sz w:val="32"/>
          <w:szCs w:val="32"/>
        </w:rPr>
        <w:t xml:space="preserve">ARNI </w:t>
      </w:r>
      <w:r>
        <w:rPr>
          <w:rFonts w:hint="eastAsia" w:ascii="仿宋_GB2312" w:hAnsi="仿宋_GB2312" w:eastAsia="仿宋_GB2312"/>
          <w:kern w:val="0"/>
          <w:sz w:val="32"/>
          <w:szCs w:val="32"/>
        </w:rPr>
        <w:t>类药物；</w:t>
      </w:r>
    </w:p>
    <w:p w14:paraId="4EF2BC85">
      <w:pPr>
        <w:overflowPunct w:val="0"/>
        <w:autoSpaceDE w:val="0"/>
        <w:autoSpaceDN w:val="0"/>
        <w:adjustRightInd w:val="0"/>
        <w:snapToGrid w:val="0"/>
        <w:spacing w:line="570" w:lineRule="exact"/>
        <w:rPr>
          <w:rFonts w:ascii="仿宋_GB2312" w:hAnsi="Times New Roman" w:eastAsia="仿宋_GB2312"/>
          <w:kern w:val="0"/>
          <w:sz w:val="32"/>
          <w:szCs w:val="32"/>
        </w:rPr>
      </w:pPr>
      <w:r>
        <w:rPr>
          <w:rFonts w:hint="eastAsia" w:ascii="仿宋_GB2312" w:hAnsi="Times New Roman" w:eastAsia="仿宋_GB2312"/>
          <w:kern w:val="0"/>
          <w:sz w:val="32"/>
          <w:szCs w:val="32"/>
        </w:rPr>
        <w:t xml:space="preserve">    2.</w:t>
      </w:r>
      <w:r>
        <w:rPr>
          <w:rFonts w:hint="eastAsia" w:ascii="仿宋_GB2312" w:hAnsi="仿宋_GB2312" w:eastAsia="仿宋_GB2312"/>
          <w:kern w:val="0"/>
          <w:sz w:val="32"/>
          <w:szCs w:val="32"/>
        </w:rPr>
        <w:t>抗心律失常药物治疗；</w:t>
      </w:r>
    </w:p>
    <w:p w14:paraId="2B88742A">
      <w:pPr>
        <w:overflowPunct w:val="0"/>
        <w:autoSpaceDE w:val="0"/>
        <w:autoSpaceDN w:val="0"/>
        <w:adjustRightInd w:val="0"/>
        <w:snapToGrid w:val="0"/>
        <w:spacing w:line="570" w:lineRule="exact"/>
        <w:rPr>
          <w:rFonts w:ascii="仿宋_GB2312" w:hAnsi="Times New Roman" w:eastAsia="仿宋_GB2312"/>
          <w:kern w:val="0"/>
          <w:sz w:val="32"/>
          <w:szCs w:val="32"/>
        </w:rPr>
      </w:pPr>
      <w:r>
        <w:rPr>
          <w:rFonts w:hint="eastAsia" w:ascii="仿宋_GB2312" w:hAnsi="Times New Roman" w:eastAsia="仿宋_GB2312"/>
          <w:kern w:val="0"/>
          <w:sz w:val="32"/>
          <w:szCs w:val="32"/>
        </w:rPr>
        <w:t xml:space="preserve">    3.</w:t>
      </w:r>
      <w:r>
        <w:rPr>
          <w:rFonts w:hint="eastAsia" w:ascii="仿宋_GB2312" w:hAnsi="仿宋_GB2312" w:eastAsia="仿宋_GB2312"/>
          <w:kern w:val="0"/>
          <w:sz w:val="32"/>
          <w:szCs w:val="32"/>
        </w:rPr>
        <w:t>调脂、抗凝、抗血小板治疗；</w:t>
      </w:r>
    </w:p>
    <w:p w14:paraId="703558A3">
      <w:pPr>
        <w:overflowPunct w:val="0"/>
        <w:autoSpaceDE w:val="0"/>
        <w:autoSpaceDN w:val="0"/>
        <w:adjustRightInd w:val="0"/>
        <w:snapToGrid w:val="0"/>
        <w:spacing w:line="570" w:lineRule="exact"/>
        <w:rPr>
          <w:rFonts w:ascii="仿宋_GB2312" w:hAnsi="Times New Roman" w:eastAsia="仿宋_GB2312"/>
          <w:kern w:val="0"/>
          <w:sz w:val="32"/>
          <w:szCs w:val="32"/>
        </w:rPr>
      </w:pPr>
      <w:r>
        <w:rPr>
          <w:rFonts w:hint="eastAsia" w:ascii="仿宋_GB2312" w:hAnsi="Times New Roman" w:eastAsia="仿宋_GB2312"/>
          <w:kern w:val="0"/>
          <w:sz w:val="32"/>
          <w:szCs w:val="32"/>
        </w:rPr>
        <w:t xml:space="preserve">    4.</w:t>
      </w:r>
      <w:r>
        <w:rPr>
          <w:rFonts w:hint="eastAsia" w:ascii="仿宋_GB2312" w:hAnsi="仿宋_GB2312" w:eastAsia="仿宋_GB2312"/>
          <w:kern w:val="0"/>
          <w:sz w:val="32"/>
          <w:szCs w:val="32"/>
        </w:rPr>
        <w:t>原发病的治疗，如高血压</w:t>
      </w:r>
      <w:r>
        <w:rPr>
          <w:rFonts w:hint="eastAsia" w:ascii="仿宋_GB2312" w:hAnsi="Times New Roman" w:eastAsia="仿宋_GB2312"/>
          <w:kern w:val="0"/>
          <w:sz w:val="32"/>
          <w:szCs w:val="32"/>
        </w:rPr>
        <w:t xml:space="preserve"> </w:t>
      </w:r>
      <w:r>
        <w:rPr>
          <w:rFonts w:hint="eastAsia" w:ascii="仿宋_GB2312" w:hAnsi="仿宋_GB2312" w:eastAsia="仿宋_GB2312"/>
          <w:kern w:val="0"/>
          <w:sz w:val="32"/>
          <w:szCs w:val="32"/>
        </w:rPr>
        <w:t>、冠心病、心房颤动等。</w:t>
      </w:r>
    </w:p>
    <w:p w14:paraId="60479642">
      <w:pPr>
        <w:overflowPunct w:val="0"/>
        <w:autoSpaceDE w:val="0"/>
        <w:autoSpaceDN w:val="0"/>
        <w:adjustRightInd w:val="0"/>
        <w:snapToGrid w:val="0"/>
        <w:spacing w:line="570" w:lineRule="exact"/>
        <w:rPr>
          <w:rFonts w:ascii="仿宋_GB2312" w:hAnsi="Times New Roman" w:eastAsia="仿宋_GB2312"/>
          <w:kern w:val="0"/>
          <w:sz w:val="32"/>
          <w:szCs w:val="32"/>
        </w:rPr>
      </w:pPr>
      <w:r>
        <w:rPr>
          <w:rFonts w:hint="eastAsia" w:ascii="仿宋_GB2312" w:hAnsi="Times New Roman" w:eastAsia="仿宋_GB2312"/>
          <w:kern w:val="0"/>
          <w:sz w:val="32"/>
          <w:szCs w:val="32"/>
        </w:rPr>
        <w:t xml:space="preserve">    5.</w:t>
      </w:r>
      <w:r>
        <w:rPr>
          <w:rFonts w:hint="eastAsia" w:ascii="仿宋_GB2312" w:hAnsi="仿宋_GB2312" w:eastAsia="仿宋_GB2312"/>
          <w:kern w:val="0"/>
          <w:sz w:val="32"/>
          <w:szCs w:val="32"/>
        </w:rPr>
        <w:t>治疗期间及治疗前后的相关检查。</w:t>
      </w:r>
    </w:p>
    <w:p w14:paraId="6C371079">
      <w:pPr>
        <w:overflowPunct w:val="0"/>
        <w:autoSpaceDE w:val="0"/>
        <w:autoSpaceDN w:val="0"/>
        <w:adjustRightInd w:val="0"/>
        <w:snapToGrid w:val="0"/>
        <w:spacing w:line="570" w:lineRule="exact"/>
        <w:ind w:firstLine="640" w:firstLineChars="200"/>
        <w:rPr>
          <w:rFonts w:ascii="楷体_GB2312" w:hAnsi="Times New Roman" w:eastAsia="楷体_GB2312"/>
          <w:bCs/>
          <w:sz w:val="32"/>
          <w:szCs w:val="32"/>
        </w:rPr>
      </w:pPr>
      <w:r>
        <w:rPr>
          <w:rFonts w:hint="eastAsia" w:ascii="楷体_GB2312" w:hAnsi="Times New Roman" w:eastAsia="楷体_GB2312"/>
          <w:bCs/>
          <w:sz w:val="32"/>
          <w:szCs w:val="32"/>
        </w:rPr>
        <w:t>（四）复审期限</w:t>
      </w:r>
    </w:p>
    <w:p w14:paraId="01D51440">
      <w:pPr>
        <w:overflowPunct w:val="0"/>
        <w:autoSpaceDE w:val="0"/>
        <w:autoSpaceDN w:val="0"/>
        <w:adjustRightInd w:val="0"/>
        <w:snapToGrid w:val="0"/>
        <w:spacing w:line="570" w:lineRule="exact"/>
        <w:ind w:firstLine="640"/>
        <w:rPr>
          <w:rFonts w:ascii="仿宋_GB2312" w:hAnsi="Times New Roman" w:eastAsia="仿宋_GB2312"/>
          <w:bCs/>
          <w:sz w:val="32"/>
          <w:szCs w:val="32"/>
        </w:rPr>
      </w:pPr>
      <w:r>
        <w:rPr>
          <w:rFonts w:hint="eastAsia" w:ascii="仿宋_GB2312" w:eastAsia="仿宋_GB2312"/>
          <w:bCs/>
          <w:sz w:val="32"/>
          <w:szCs w:val="32"/>
        </w:rPr>
        <w:t>长期</w:t>
      </w:r>
      <w:r>
        <w:rPr>
          <w:rFonts w:hint="eastAsia" w:ascii="仿宋_GB2312" w:hAnsi="仿宋_GB2312" w:eastAsia="仿宋_GB2312"/>
          <w:bCs/>
          <w:sz w:val="32"/>
          <w:szCs w:val="32"/>
        </w:rPr>
        <w:t>。</w:t>
      </w:r>
    </w:p>
    <w:p w14:paraId="7FFCD6E0">
      <w:pPr>
        <w:pStyle w:val="12"/>
        <w:widowControl w:val="0"/>
        <w:overflowPunct w:val="0"/>
        <w:autoSpaceDE w:val="0"/>
        <w:autoSpaceDN w:val="0"/>
        <w:adjustRightInd w:val="0"/>
        <w:snapToGrid w:val="0"/>
        <w:spacing w:line="570" w:lineRule="exact"/>
        <w:jc w:val="both"/>
        <w:rPr>
          <w:rFonts w:ascii="黑体" w:hAnsi="黑体" w:eastAsia="黑体"/>
          <w:sz w:val="32"/>
          <w:szCs w:val="32"/>
        </w:rPr>
      </w:pPr>
      <w:r>
        <w:rPr>
          <w:rFonts w:hint="eastAsia" w:ascii="仿宋_GB2312" w:hAnsi="Times New Roman" w:eastAsia="仿宋_GB2312"/>
          <w:bCs/>
          <w:sz w:val="32"/>
          <w:szCs w:val="32"/>
        </w:rPr>
        <w:t xml:space="preserve">  </w:t>
      </w:r>
      <w:r>
        <w:rPr>
          <w:rFonts w:hint="eastAsia" w:ascii="黑体" w:hAnsi="黑体" w:eastAsia="黑体"/>
          <w:sz w:val="32"/>
          <w:szCs w:val="32"/>
        </w:rPr>
        <w:t>三十一、高血压（高危）</w:t>
      </w:r>
    </w:p>
    <w:p w14:paraId="47D4F0DE">
      <w:pPr>
        <w:overflowPunct w:val="0"/>
        <w:autoSpaceDE w:val="0"/>
        <w:autoSpaceDN w:val="0"/>
        <w:adjustRightInd w:val="0"/>
        <w:snapToGrid w:val="0"/>
        <w:spacing w:line="570" w:lineRule="exact"/>
        <w:ind w:firstLine="640" w:firstLineChars="200"/>
        <w:rPr>
          <w:rFonts w:ascii="楷体_GB2312" w:hAnsi="Times New Roman" w:eastAsia="楷体_GB2312"/>
          <w:bCs/>
          <w:sz w:val="32"/>
          <w:szCs w:val="32"/>
        </w:rPr>
      </w:pPr>
      <w:r>
        <w:rPr>
          <w:rFonts w:hint="eastAsia" w:ascii="楷体_GB2312" w:hAnsi="Times New Roman" w:eastAsia="楷体_GB2312"/>
          <w:bCs/>
          <w:sz w:val="32"/>
          <w:szCs w:val="32"/>
        </w:rPr>
        <w:t>（一）申报资料</w:t>
      </w:r>
    </w:p>
    <w:p w14:paraId="1FD8DCD7">
      <w:pPr>
        <w:overflowPunct w:val="0"/>
        <w:autoSpaceDE w:val="0"/>
        <w:autoSpaceDN w:val="0"/>
        <w:adjustRightInd w:val="0"/>
        <w:snapToGrid w:val="0"/>
        <w:spacing w:line="570" w:lineRule="exact"/>
        <w:rPr>
          <w:rFonts w:ascii="仿宋_GB2312" w:hAnsi="Times New Roman" w:eastAsia="仿宋_GB2312"/>
          <w:kern w:val="0"/>
          <w:sz w:val="32"/>
          <w:szCs w:val="32"/>
        </w:rPr>
      </w:pPr>
      <w:r>
        <w:rPr>
          <w:rFonts w:hint="eastAsia" w:ascii="仿宋_GB2312" w:hAnsi="Times New Roman" w:eastAsia="仿宋_GB2312"/>
          <w:kern w:val="0"/>
          <w:sz w:val="32"/>
          <w:szCs w:val="32"/>
        </w:rPr>
        <w:t xml:space="preserve">    1.</w:t>
      </w:r>
      <w:r>
        <w:rPr>
          <w:rFonts w:hint="eastAsia" w:ascii="仿宋_GB2312" w:hAnsi="仿宋_GB2312" w:eastAsia="仿宋_GB2312"/>
          <w:kern w:val="0"/>
          <w:sz w:val="32"/>
          <w:szCs w:val="32"/>
        </w:rPr>
        <w:t>患者本人病历（包括二级以上</w:t>
      </w:r>
      <w:r>
        <w:rPr>
          <w:rFonts w:hint="eastAsia" w:ascii="仿宋_GB2312" w:hAnsi="Times New Roman" w:eastAsia="仿宋_GB2312"/>
          <w:sz w:val="32"/>
          <w:szCs w:val="32"/>
        </w:rPr>
        <w:t>医保定点医疗机构</w:t>
      </w:r>
      <w:r>
        <w:rPr>
          <w:rFonts w:hint="eastAsia" w:ascii="仿宋_GB2312" w:hAnsi="仿宋_GB2312" w:eastAsia="仿宋_GB2312"/>
          <w:kern w:val="0"/>
          <w:sz w:val="32"/>
          <w:szCs w:val="32"/>
        </w:rPr>
        <w:t>门诊或住院病历复印件，病历中须有血压测量记录；高血压（高危）的认定必需有住院资料）；</w:t>
      </w:r>
    </w:p>
    <w:p w14:paraId="4D58D197">
      <w:pPr>
        <w:overflowPunct w:val="0"/>
        <w:autoSpaceDE w:val="0"/>
        <w:autoSpaceDN w:val="0"/>
        <w:adjustRightInd w:val="0"/>
        <w:snapToGrid w:val="0"/>
        <w:spacing w:line="570" w:lineRule="exact"/>
        <w:rPr>
          <w:rFonts w:ascii="仿宋_GB2312" w:hAnsi="Times New Roman" w:eastAsia="仿宋_GB2312"/>
          <w:kern w:val="0"/>
          <w:sz w:val="32"/>
          <w:szCs w:val="32"/>
        </w:rPr>
      </w:pPr>
      <w:r>
        <w:rPr>
          <w:rFonts w:hint="eastAsia" w:ascii="仿宋_GB2312" w:hAnsi="Times New Roman" w:eastAsia="仿宋_GB2312"/>
          <w:kern w:val="0"/>
          <w:sz w:val="32"/>
          <w:szCs w:val="32"/>
        </w:rPr>
        <w:t xml:space="preserve">    2.</w:t>
      </w:r>
      <w:r>
        <w:rPr>
          <w:rFonts w:hint="eastAsia" w:ascii="仿宋_GB2312" w:hAnsi="仿宋_GB2312" w:eastAsia="仿宋_GB2312"/>
          <w:kern w:val="0"/>
          <w:sz w:val="32"/>
          <w:szCs w:val="32"/>
        </w:rPr>
        <w:t>有关临床资料（包括病史、症状、体征等；心电图、动态血压资料）、血液生化资料（主要指血糖、血脂、血尿酸、肝肾功能等资料）、尿液检查资料；</w:t>
      </w:r>
    </w:p>
    <w:p w14:paraId="31A5EB6A">
      <w:pPr>
        <w:overflowPunct w:val="0"/>
        <w:autoSpaceDE w:val="0"/>
        <w:autoSpaceDN w:val="0"/>
        <w:adjustRightInd w:val="0"/>
        <w:snapToGrid w:val="0"/>
        <w:spacing w:line="570" w:lineRule="exact"/>
        <w:rPr>
          <w:rFonts w:ascii="仿宋_GB2312" w:hAnsi="Times New Roman" w:eastAsia="仿宋_GB2312"/>
          <w:kern w:val="0"/>
          <w:sz w:val="32"/>
          <w:szCs w:val="32"/>
        </w:rPr>
      </w:pPr>
      <w:r>
        <w:rPr>
          <w:rFonts w:hint="eastAsia" w:ascii="仿宋_GB2312" w:hAnsi="Times New Roman" w:eastAsia="仿宋_GB2312"/>
          <w:kern w:val="0"/>
          <w:sz w:val="32"/>
          <w:szCs w:val="32"/>
        </w:rPr>
        <w:t xml:space="preserve">    3.</w:t>
      </w:r>
      <w:r>
        <w:rPr>
          <w:rFonts w:hint="eastAsia" w:ascii="仿宋_GB2312" w:hAnsi="仿宋_GB2312" w:eastAsia="仿宋_GB2312"/>
          <w:kern w:val="0"/>
          <w:sz w:val="32"/>
          <w:szCs w:val="32"/>
        </w:rPr>
        <w:t>影像学资料（主要是心血管</w:t>
      </w:r>
      <w:r>
        <w:rPr>
          <w:rFonts w:hint="eastAsia" w:ascii="仿宋_GB2312" w:hAnsi="Times New Roman" w:eastAsia="仿宋_GB2312"/>
          <w:kern w:val="0"/>
          <w:sz w:val="32"/>
          <w:szCs w:val="32"/>
        </w:rPr>
        <w:t>X</w:t>
      </w:r>
      <w:r>
        <w:rPr>
          <w:rFonts w:hint="eastAsia" w:ascii="仿宋_GB2312" w:hAnsi="仿宋_GB2312" w:eastAsia="仿宋_GB2312"/>
          <w:kern w:val="0"/>
          <w:sz w:val="32"/>
          <w:szCs w:val="32"/>
        </w:rPr>
        <w:t>线检查、头颅</w:t>
      </w:r>
      <w:r>
        <w:rPr>
          <w:rFonts w:hint="eastAsia" w:ascii="仿宋_GB2312" w:hAnsi="Times New Roman" w:eastAsia="仿宋_GB2312"/>
          <w:kern w:val="0"/>
          <w:sz w:val="32"/>
          <w:szCs w:val="32"/>
        </w:rPr>
        <w:t>CT</w:t>
      </w:r>
      <w:r>
        <w:rPr>
          <w:rFonts w:hint="eastAsia" w:ascii="仿宋_GB2312" w:hAnsi="仿宋_GB2312" w:eastAsia="仿宋_GB2312"/>
          <w:kern w:val="0"/>
          <w:sz w:val="32"/>
          <w:szCs w:val="32"/>
        </w:rPr>
        <w:t>、冠脉造影</w:t>
      </w:r>
      <w:r>
        <w:rPr>
          <w:rFonts w:hint="eastAsia" w:ascii="仿宋_GB2312" w:hAnsi="Times New Roman" w:eastAsia="仿宋_GB2312"/>
          <w:kern w:val="0"/>
          <w:sz w:val="32"/>
          <w:szCs w:val="32"/>
        </w:rPr>
        <w:t>/</w:t>
      </w:r>
      <w:r>
        <w:rPr>
          <w:rFonts w:hint="eastAsia" w:ascii="仿宋_GB2312" w:hAnsi="仿宋_GB2312" w:eastAsia="仿宋_GB2312"/>
          <w:kern w:val="0"/>
          <w:sz w:val="32"/>
          <w:szCs w:val="32"/>
        </w:rPr>
        <w:t>冠脉</w:t>
      </w:r>
      <w:r>
        <w:rPr>
          <w:rFonts w:hint="eastAsia" w:ascii="仿宋_GB2312" w:hAnsi="Times New Roman" w:eastAsia="仿宋_GB2312"/>
          <w:kern w:val="0"/>
          <w:sz w:val="32"/>
          <w:szCs w:val="32"/>
        </w:rPr>
        <w:t>CT A</w:t>
      </w:r>
      <w:r>
        <w:rPr>
          <w:rFonts w:hint="eastAsia" w:ascii="仿宋_GB2312" w:hAnsi="仿宋_GB2312" w:eastAsia="仿宋_GB2312"/>
          <w:kern w:val="0"/>
          <w:sz w:val="32"/>
          <w:szCs w:val="32"/>
        </w:rPr>
        <w:t>、颈部超声、超声心动图以及眼底检查资料）。</w:t>
      </w:r>
    </w:p>
    <w:p w14:paraId="4B04CB84">
      <w:pPr>
        <w:overflowPunct w:val="0"/>
        <w:autoSpaceDE w:val="0"/>
        <w:autoSpaceDN w:val="0"/>
        <w:adjustRightInd w:val="0"/>
        <w:snapToGrid w:val="0"/>
        <w:spacing w:line="570" w:lineRule="exact"/>
        <w:ind w:firstLine="640" w:firstLineChars="200"/>
        <w:rPr>
          <w:rFonts w:ascii="楷体_GB2312" w:hAnsi="Times New Roman" w:eastAsia="楷体_GB2312"/>
          <w:bCs/>
          <w:sz w:val="32"/>
          <w:szCs w:val="32"/>
        </w:rPr>
      </w:pPr>
      <w:r>
        <w:rPr>
          <w:rFonts w:hint="eastAsia" w:ascii="楷体_GB2312" w:hAnsi="Times New Roman" w:eastAsia="楷体_GB2312"/>
          <w:bCs/>
          <w:sz w:val="32"/>
          <w:szCs w:val="32"/>
        </w:rPr>
        <w:t>（二）治疗指征（认定标准）</w:t>
      </w:r>
    </w:p>
    <w:p w14:paraId="4C83E5E5">
      <w:pPr>
        <w:overflowPunct w:val="0"/>
        <w:autoSpaceDE w:val="0"/>
        <w:autoSpaceDN w:val="0"/>
        <w:adjustRightInd w:val="0"/>
        <w:snapToGrid w:val="0"/>
        <w:spacing w:line="570" w:lineRule="exact"/>
        <w:rPr>
          <w:rFonts w:ascii="仿宋_GB2312" w:hAnsi="Times New Roman" w:eastAsia="仿宋_GB2312"/>
          <w:kern w:val="0"/>
          <w:sz w:val="32"/>
          <w:szCs w:val="32"/>
        </w:rPr>
      </w:pPr>
      <w:r>
        <w:rPr>
          <w:rFonts w:hint="eastAsia" w:ascii="仿宋_GB2312" w:hAnsi="Times New Roman" w:eastAsia="仿宋_GB2312"/>
          <w:kern w:val="0"/>
          <w:sz w:val="32"/>
          <w:szCs w:val="32"/>
        </w:rPr>
        <w:t xml:space="preserve">    1.</w:t>
      </w:r>
      <w:r>
        <w:rPr>
          <w:rFonts w:hint="eastAsia" w:ascii="仿宋_GB2312" w:hAnsi="仿宋_GB2312" w:eastAsia="仿宋_GB2312"/>
          <w:kern w:val="0"/>
          <w:sz w:val="32"/>
          <w:szCs w:val="32"/>
        </w:rPr>
        <w:t>经二级以上</w:t>
      </w:r>
      <w:r>
        <w:rPr>
          <w:rFonts w:hint="eastAsia" w:ascii="仿宋_GB2312" w:hAnsi="Times New Roman" w:eastAsia="仿宋_GB2312"/>
          <w:sz w:val="32"/>
          <w:szCs w:val="32"/>
        </w:rPr>
        <w:t>医保定点医疗机构</w:t>
      </w:r>
      <w:r>
        <w:rPr>
          <w:rFonts w:hint="eastAsia" w:ascii="仿宋_GB2312" w:hAnsi="仿宋_GB2312" w:eastAsia="仿宋_GB2312"/>
          <w:kern w:val="0"/>
          <w:sz w:val="32"/>
          <w:szCs w:val="32"/>
        </w:rPr>
        <w:t>确认达到国内现行的原发性高血压的诊断标准，需要在门诊进行长期药物治疗的患者；</w:t>
      </w:r>
    </w:p>
    <w:p w14:paraId="2CF1CA42">
      <w:pPr>
        <w:overflowPunct w:val="0"/>
        <w:autoSpaceDE w:val="0"/>
        <w:autoSpaceDN w:val="0"/>
        <w:adjustRightInd w:val="0"/>
        <w:snapToGrid w:val="0"/>
        <w:spacing w:line="570" w:lineRule="exact"/>
        <w:rPr>
          <w:rFonts w:ascii="仿宋_GB2312" w:hAnsi="Times New Roman" w:eastAsia="仿宋_GB2312"/>
          <w:kern w:val="0"/>
          <w:sz w:val="32"/>
          <w:szCs w:val="32"/>
        </w:rPr>
      </w:pPr>
      <w:r>
        <w:rPr>
          <w:rFonts w:hint="eastAsia" w:ascii="仿宋_GB2312" w:hAnsi="Times New Roman" w:eastAsia="仿宋_GB2312"/>
          <w:kern w:val="0"/>
          <w:sz w:val="32"/>
          <w:szCs w:val="32"/>
        </w:rPr>
        <w:t xml:space="preserve">    2.</w:t>
      </w:r>
      <w:r>
        <w:rPr>
          <w:rFonts w:hint="eastAsia" w:ascii="仿宋_GB2312" w:hAnsi="仿宋_GB2312" w:eastAsia="仿宋_GB2312"/>
          <w:kern w:val="0"/>
          <w:sz w:val="32"/>
          <w:szCs w:val="32"/>
        </w:rPr>
        <w:t>根据《中国高血压防治指南</w:t>
      </w:r>
      <w:r>
        <w:rPr>
          <w:rFonts w:hint="eastAsia" w:ascii="仿宋_GB2312" w:hAnsi="Times New Roman" w:eastAsia="仿宋_GB2312"/>
          <w:kern w:val="0"/>
          <w:sz w:val="32"/>
          <w:szCs w:val="32"/>
        </w:rPr>
        <w:t>2018</w:t>
      </w:r>
      <w:r>
        <w:rPr>
          <w:rFonts w:hint="eastAsia" w:ascii="仿宋_GB2312" w:hAnsi="仿宋_GB2312" w:eastAsia="仿宋_GB2312"/>
          <w:kern w:val="0"/>
          <w:sz w:val="32"/>
          <w:szCs w:val="32"/>
        </w:rPr>
        <w:t>年修订版》，按心血管危险因素将高血压分为低危、中危、高危和很高危</w:t>
      </w:r>
      <w:r>
        <w:rPr>
          <w:rFonts w:hint="eastAsia" w:ascii="仿宋_GB2312" w:hAnsi="Times New Roman" w:eastAsia="仿宋_GB2312"/>
          <w:kern w:val="0"/>
          <w:sz w:val="32"/>
          <w:szCs w:val="32"/>
        </w:rPr>
        <w:t>4</w:t>
      </w:r>
      <w:r>
        <w:rPr>
          <w:rFonts w:hint="eastAsia" w:ascii="仿宋_GB2312" w:hAnsi="仿宋_GB2312" w:eastAsia="仿宋_GB2312"/>
          <w:kern w:val="0"/>
          <w:sz w:val="32"/>
          <w:szCs w:val="32"/>
        </w:rPr>
        <w:t>个层次；</w:t>
      </w:r>
    </w:p>
    <w:p w14:paraId="6307F2FA">
      <w:pPr>
        <w:overflowPunct w:val="0"/>
        <w:autoSpaceDE w:val="0"/>
        <w:autoSpaceDN w:val="0"/>
        <w:adjustRightInd w:val="0"/>
        <w:snapToGrid w:val="0"/>
        <w:spacing w:line="570" w:lineRule="exact"/>
        <w:rPr>
          <w:rFonts w:ascii="仿宋_GB2312" w:hAnsi="Times New Roman" w:eastAsia="仿宋_GB2312"/>
          <w:kern w:val="0"/>
          <w:sz w:val="32"/>
          <w:szCs w:val="32"/>
        </w:rPr>
      </w:pPr>
      <w:r>
        <w:rPr>
          <w:rFonts w:hint="eastAsia" w:ascii="仿宋_GB2312" w:hAnsi="Times New Roman" w:eastAsia="仿宋_GB2312"/>
          <w:kern w:val="0"/>
          <w:sz w:val="32"/>
          <w:szCs w:val="32"/>
        </w:rPr>
        <w:t xml:space="preserve">    3.</w:t>
      </w:r>
      <w:r>
        <w:rPr>
          <w:rFonts w:hint="eastAsia" w:ascii="仿宋_GB2312" w:hAnsi="仿宋_GB2312" w:eastAsia="仿宋_GB2312"/>
          <w:kern w:val="0"/>
          <w:sz w:val="32"/>
          <w:szCs w:val="32"/>
        </w:rPr>
        <w:t>将高血压高危、很高危统称为高血压（高危），纳入门诊慢特病保障。</w:t>
      </w:r>
    </w:p>
    <w:p w14:paraId="34925F16">
      <w:pPr>
        <w:overflowPunct w:val="0"/>
        <w:autoSpaceDE w:val="0"/>
        <w:autoSpaceDN w:val="0"/>
        <w:adjustRightInd w:val="0"/>
        <w:snapToGrid w:val="0"/>
        <w:spacing w:line="570" w:lineRule="exact"/>
        <w:ind w:firstLine="640" w:firstLineChars="200"/>
        <w:rPr>
          <w:rFonts w:ascii="楷体_GB2312" w:hAnsi="Times New Roman" w:eastAsia="楷体_GB2312"/>
          <w:bCs/>
          <w:sz w:val="32"/>
          <w:szCs w:val="32"/>
        </w:rPr>
      </w:pPr>
      <w:r>
        <w:rPr>
          <w:rFonts w:hint="eastAsia" w:ascii="楷体_GB2312" w:hAnsi="Times New Roman" w:eastAsia="楷体_GB2312"/>
          <w:bCs/>
          <w:sz w:val="32"/>
          <w:szCs w:val="32"/>
        </w:rPr>
        <w:t>（三）门诊诊疗范围</w:t>
      </w:r>
    </w:p>
    <w:p w14:paraId="1A9954E7">
      <w:pPr>
        <w:overflowPunct w:val="0"/>
        <w:autoSpaceDE w:val="0"/>
        <w:autoSpaceDN w:val="0"/>
        <w:adjustRightInd w:val="0"/>
        <w:snapToGrid w:val="0"/>
        <w:spacing w:line="570" w:lineRule="exact"/>
        <w:rPr>
          <w:rFonts w:ascii="仿宋_GB2312" w:hAnsi="Times New Roman" w:eastAsia="仿宋_GB2312"/>
          <w:kern w:val="0"/>
          <w:sz w:val="32"/>
          <w:szCs w:val="32"/>
        </w:rPr>
      </w:pPr>
      <w:r>
        <w:rPr>
          <w:rFonts w:hint="eastAsia" w:ascii="仿宋_GB2312" w:hAnsi="Times New Roman" w:eastAsia="仿宋_GB2312"/>
          <w:kern w:val="0"/>
          <w:sz w:val="32"/>
          <w:szCs w:val="32"/>
        </w:rPr>
        <w:t xml:space="preserve">    1.</w:t>
      </w:r>
      <w:r>
        <w:rPr>
          <w:rFonts w:hint="eastAsia" w:ascii="仿宋_GB2312" w:hAnsi="仿宋_GB2312" w:eastAsia="仿宋_GB2312"/>
          <w:kern w:val="0"/>
          <w:sz w:val="32"/>
          <w:szCs w:val="32"/>
        </w:rPr>
        <w:t>抗高血压药物的治疗；</w:t>
      </w:r>
    </w:p>
    <w:p w14:paraId="7C20733B">
      <w:pPr>
        <w:overflowPunct w:val="0"/>
        <w:autoSpaceDE w:val="0"/>
        <w:autoSpaceDN w:val="0"/>
        <w:adjustRightInd w:val="0"/>
        <w:snapToGrid w:val="0"/>
        <w:spacing w:line="570" w:lineRule="exact"/>
        <w:rPr>
          <w:rFonts w:ascii="仿宋_GB2312" w:hAnsi="Times New Roman" w:eastAsia="仿宋_GB2312"/>
          <w:kern w:val="0"/>
          <w:sz w:val="32"/>
          <w:szCs w:val="32"/>
        </w:rPr>
      </w:pPr>
      <w:r>
        <w:rPr>
          <w:rFonts w:hint="eastAsia" w:ascii="仿宋_GB2312" w:hAnsi="Times New Roman" w:eastAsia="仿宋_GB2312"/>
          <w:kern w:val="0"/>
          <w:sz w:val="32"/>
          <w:szCs w:val="32"/>
        </w:rPr>
        <w:t xml:space="preserve">    2.</w:t>
      </w:r>
      <w:r>
        <w:rPr>
          <w:rFonts w:hint="eastAsia" w:ascii="仿宋_GB2312" w:hAnsi="仿宋_GB2312" w:eastAsia="仿宋_GB2312"/>
          <w:kern w:val="0"/>
          <w:sz w:val="32"/>
          <w:szCs w:val="32"/>
        </w:rPr>
        <w:t>靶器官损害及相关临床疾病的治疗；</w:t>
      </w:r>
    </w:p>
    <w:p w14:paraId="5FCC4542">
      <w:pPr>
        <w:overflowPunct w:val="0"/>
        <w:autoSpaceDE w:val="0"/>
        <w:autoSpaceDN w:val="0"/>
        <w:adjustRightInd w:val="0"/>
        <w:snapToGrid w:val="0"/>
        <w:spacing w:line="570" w:lineRule="exact"/>
        <w:rPr>
          <w:rFonts w:ascii="仿宋_GB2312" w:hAnsi="Times New Roman" w:eastAsia="仿宋_GB2312"/>
          <w:kern w:val="0"/>
          <w:sz w:val="32"/>
          <w:szCs w:val="32"/>
        </w:rPr>
      </w:pPr>
      <w:r>
        <w:rPr>
          <w:rFonts w:hint="eastAsia" w:ascii="仿宋_GB2312" w:hAnsi="Times New Roman" w:eastAsia="仿宋_GB2312"/>
          <w:kern w:val="0"/>
          <w:sz w:val="32"/>
          <w:szCs w:val="32"/>
        </w:rPr>
        <w:t xml:space="preserve">    3.</w:t>
      </w:r>
      <w:r>
        <w:rPr>
          <w:rFonts w:hint="eastAsia" w:ascii="仿宋_GB2312" w:hAnsi="仿宋_GB2312" w:eastAsia="仿宋_GB2312"/>
          <w:kern w:val="0"/>
          <w:sz w:val="32"/>
          <w:szCs w:val="32"/>
        </w:rPr>
        <w:t>治疗期间及治疗前后的相关检查。</w:t>
      </w:r>
    </w:p>
    <w:p w14:paraId="32BBD94F">
      <w:pPr>
        <w:overflowPunct w:val="0"/>
        <w:autoSpaceDE w:val="0"/>
        <w:autoSpaceDN w:val="0"/>
        <w:adjustRightInd w:val="0"/>
        <w:snapToGrid w:val="0"/>
        <w:spacing w:line="570" w:lineRule="exact"/>
        <w:ind w:firstLine="640" w:firstLineChars="200"/>
        <w:rPr>
          <w:rFonts w:ascii="楷体_GB2312" w:hAnsi="Times New Roman" w:eastAsia="楷体_GB2312"/>
          <w:bCs/>
          <w:sz w:val="32"/>
          <w:szCs w:val="32"/>
        </w:rPr>
      </w:pPr>
      <w:r>
        <w:rPr>
          <w:rFonts w:hint="eastAsia" w:ascii="楷体_GB2312" w:hAnsi="Times New Roman" w:eastAsia="楷体_GB2312"/>
          <w:bCs/>
          <w:sz w:val="32"/>
          <w:szCs w:val="32"/>
        </w:rPr>
        <w:t>（四）复审期限</w:t>
      </w:r>
    </w:p>
    <w:p w14:paraId="4796B514">
      <w:pPr>
        <w:overflowPunct w:val="0"/>
        <w:autoSpaceDE w:val="0"/>
        <w:autoSpaceDN w:val="0"/>
        <w:adjustRightInd w:val="0"/>
        <w:snapToGrid w:val="0"/>
        <w:spacing w:line="570" w:lineRule="exact"/>
        <w:ind w:firstLine="630" w:firstLineChars="197"/>
        <w:rPr>
          <w:rFonts w:ascii="仿宋_GB2312" w:hAnsi="Times New Roman" w:eastAsia="仿宋_GB2312"/>
          <w:sz w:val="32"/>
          <w:szCs w:val="32"/>
        </w:rPr>
      </w:pPr>
      <w:r>
        <w:rPr>
          <w:rFonts w:hint="eastAsia" w:ascii="仿宋_GB2312" w:hAnsi="仿宋_GB2312" w:eastAsia="仿宋_GB2312"/>
          <w:bCs/>
          <w:sz w:val="32"/>
          <w:szCs w:val="32"/>
        </w:rPr>
        <w:t>长期。</w:t>
      </w:r>
    </w:p>
    <w:p w14:paraId="69D39798">
      <w:pPr>
        <w:overflowPunct w:val="0"/>
        <w:autoSpaceDE w:val="0"/>
        <w:autoSpaceDN w:val="0"/>
        <w:adjustRightInd w:val="0"/>
        <w:snapToGrid w:val="0"/>
        <w:spacing w:line="570" w:lineRule="exact"/>
        <w:rPr>
          <w:rFonts w:ascii="黑体" w:hAnsi="黑体" w:eastAsia="黑体"/>
          <w:kern w:val="0"/>
          <w:sz w:val="32"/>
          <w:szCs w:val="32"/>
        </w:rPr>
      </w:pPr>
      <w:r>
        <w:rPr>
          <w:rFonts w:hint="eastAsia" w:ascii="仿宋_GB2312" w:hAnsi="Times New Roman" w:eastAsia="仿宋_GB2312"/>
          <w:kern w:val="0"/>
          <w:sz w:val="32"/>
          <w:szCs w:val="32"/>
        </w:rPr>
        <w:t xml:space="preserve">   </w:t>
      </w:r>
      <w:r>
        <w:rPr>
          <w:rFonts w:hint="eastAsia" w:ascii="黑体" w:hAnsi="黑体" w:eastAsia="黑体"/>
          <w:kern w:val="0"/>
          <w:sz w:val="32"/>
          <w:szCs w:val="32"/>
        </w:rPr>
        <w:t xml:space="preserve"> 三十二、克山病</w:t>
      </w:r>
    </w:p>
    <w:p w14:paraId="66816FAA">
      <w:pPr>
        <w:overflowPunct w:val="0"/>
        <w:autoSpaceDE w:val="0"/>
        <w:autoSpaceDN w:val="0"/>
        <w:adjustRightInd w:val="0"/>
        <w:snapToGrid w:val="0"/>
        <w:spacing w:line="570" w:lineRule="exact"/>
        <w:ind w:firstLine="640" w:firstLineChars="200"/>
        <w:rPr>
          <w:rFonts w:ascii="楷体_GB2312" w:hAnsi="Times New Roman" w:eastAsia="楷体_GB2312"/>
          <w:bCs/>
          <w:sz w:val="32"/>
          <w:szCs w:val="32"/>
        </w:rPr>
      </w:pPr>
      <w:r>
        <w:rPr>
          <w:rFonts w:hint="eastAsia" w:ascii="楷体_GB2312" w:hAnsi="Times New Roman" w:eastAsia="楷体_GB2312"/>
          <w:bCs/>
          <w:sz w:val="32"/>
          <w:szCs w:val="32"/>
        </w:rPr>
        <w:t>（一）申报资料</w:t>
      </w:r>
    </w:p>
    <w:p w14:paraId="094E302B">
      <w:pPr>
        <w:overflowPunct w:val="0"/>
        <w:autoSpaceDE w:val="0"/>
        <w:autoSpaceDN w:val="0"/>
        <w:adjustRightInd w:val="0"/>
        <w:snapToGrid w:val="0"/>
        <w:spacing w:line="570" w:lineRule="exact"/>
        <w:rPr>
          <w:rFonts w:ascii="仿宋_GB2312" w:hAnsi="Times New Roman" w:eastAsia="仿宋_GB2312"/>
          <w:kern w:val="0"/>
          <w:sz w:val="32"/>
          <w:szCs w:val="32"/>
        </w:rPr>
      </w:pPr>
      <w:r>
        <w:rPr>
          <w:rFonts w:hint="eastAsia" w:ascii="仿宋_GB2312" w:hAnsi="Times New Roman" w:eastAsia="仿宋_GB2312"/>
          <w:kern w:val="0"/>
          <w:sz w:val="32"/>
          <w:szCs w:val="32"/>
        </w:rPr>
        <w:t xml:space="preserve">    1.</w:t>
      </w:r>
      <w:r>
        <w:rPr>
          <w:rFonts w:hint="eastAsia" w:ascii="仿宋_GB2312" w:hAnsi="仿宋_GB2312" w:eastAsia="仿宋_GB2312"/>
          <w:kern w:val="0"/>
          <w:sz w:val="32"/>
          <w:szCs w:val="32"/>
        </w:rPr>
        <w:t>须提供</w:t>
      </w:r>
      <w:r>
        <w:rPr>
          <w:rFonts w:hint="eastAsia" w:ascii="仿宋_GB2312" w:hAnsi="Times New Roman" w:eastAsia="仿宋_GB2312"/>
          <w:sz w:val="32"/>
          <w:szCs w:val="32"/>
        </w:rPr>
        <w:t>医保定点医疗机构</w:t>
      </w:r>
      <w:r>
        <w:rPr>
          <w:rFonts w:hint="eastAsia" w:ascii="仿宋_GB2312" w:hAnsi="仿宋_GB2312" w:eastAsia="仿宋_GB2312"/>
          <w:kern w:val="0"/>
          <w:sz w:val="32"/>
          <w:szCs w:val="32"/>
        </w:rPr>
        <w:t>患者本人与所申请病种相符合的住院病历或体检资料；</w:t>
      </w:r>
    </w:p>
    <w:p w14:paraId="77D5408C">
      <w:pPr>
        <w:overflowPunct w:val="0"/>
        <w:autoSpaceDE w:val="0"/>
        <w:autoSpaceDN w:val="0"/>
        <w:adjustRightInd w:val="0"/>
        <w:snapToGrid w:val="0"/>
        <w:spacing w:line="570" w:lineRule="exact"/>
        <w:rPr>
          <w:rFonts w:ascii="仿宋_GB2312" w:hAnsi="Times New Roman" w:eastAsia="仿宋_GB2312"/>
          <w:sz w:val="32"/>
          <w:szCs w:val="32"/>
        </w:rPr>
      </w:pPr>
      <w:r>
        <w:rPr>
          <w:rFonts w:hint="eastAsia" w:ascii="仿宋_GB2312" w:hAnsi="Times New Roman" w:eastAsia="仿宋_GB2312"/>
          <w:kern w:val="0"/>
          <w:sz w:val="32"/>
          <w:szCs w:val="32"/>
        </w:rPr>
        <w:t xml:space="preserve">    2.</w:t>
      </w:r>
      <w:r>
        <w:rPr>
          <w:rFonts w:hint="eastAsia" w:ascii="仿宋_GB2312" w:hAnsi="仿宋_GB2312" w:eastAsia="仿宋_GB2312"/>
          <w:kern w:val="0"/>
          <w:sz w:val="32"/>
          <w:szCs w:val="32"/>
        </w:rPr>
        <w:t>相关的临床资料，包括流行病学史、病史、症状、体征；</w:t>
      </w:r>
    </w:p>
    <w:p w14:paraId="3F64D35F">
      <w:pPr>
        <w:overflowPunct w:val="0"/>
        <w:autoSpaceDE w:val="0"/>
        <w:autoSpaceDN w:val="0"/>
        <w:adjustRightInd w:val="0"/>
        <w:snapToGrid w:val="0"/>
        <w:spacing w:line="570" w:lineRule="exact"/>
        <w:rPr>
          <w:rFonts w:ascii="仿宋_GB2312" w:hAnsi="Times New Roman" w:eastAsia="仿宋_GB2312"/>
          <w:kern w:val="0"/>
          <w:sz w:val="32"/>
          <w:szCs w:val="32"/>
        </w:rPr>
      </w:pPr>
      <w:r>
        <w:rPr>
          <w:rFonts w:hint="eastAsia" w:ascii="仿宋_GB2312" w:hAnsi="Times New Roman" w:eastAsia="仿宋_GB2312"/>
          <w:kern w:val="0"/>
          <w:sz w:val="32"/>
          <w:szCs w:val="32"/>
        </w:rPr>
        <w:t xml:space="preserve">    3.</w:t>
      </w:r>
      <w:r>
        <w:rPr>
          <w:rFonts w:hint="eastAsia" w:ascii="仿宋_GB2312" w:hAnsi="仿宋_GB2312" w:eastAsia="仿宋_GB2312"/>
          <w:kern w:val="0"/>
          <w:sz w:val="32"/>
          <w:szCs w:val="32"/>
        </w:rPr>
        <w:t>辅助检查资料：须提供证明存在心脏病（左心室增大或室壁变薄）及右心增大和肺动脉扩张的影像学资料（主要为超声心动图）、心电图、胸片等；</w:t>
      </w:r>
    </w:p>
    <w:p w14:paraId="23A1879F">
      <w:pPr>
        <w:overflowPunct w:val="0"/>
        <w:autoSpaceDE w:val="0"/>
        <w:autoSpaceDN w:val="0"/>
        <w:adjustRightInd w:val="0"/>
        <w:snapToGrid w:val="0"/>
        <w:spacing w:line="570" w:lineRule="exact"/>
        <w:rPr>
          <w:rFonts w:ascii="仿宋_GB2312" w:hAnsi="Times New Roman" w:eastAsia="仿宋_GB2312"/>
          <w:kern w:val="0"/>
          <w:sz w:val="32"/>
          <w:szCs w:val="32"/>
        </w:rPr>
      </w:pPr>
      <w:r>
        <w:rPr>
          <w:rFonts w:hint="eastAsia" w:ascii="仿宋_GB2312" w:hAnsi="Times New Roman" w:eastAsia="仿宋_GB2312"/>
          <w:kern w:val="0"/>
          <w:sz w:val="32"/>
          <w:szCs w:val="32"/>
        </w:rPr>
        <w:t xml:space="preserve">    4.</w:t>
      </w:r>
      <w:r>
        <w:rPr>
          <w:rFonts w:hint="eastAsia" w:ascii="仿宋_GB2312" w:hAnsi="Times New Roman" w:eastAsia="仿宋_GB2312"/>
          <w:sz w:val="32"/>
          <w:szCs w:val="32"/>
        </w:rPr>
        <w:t>医保定点医疗机构</w:t>
      </w:r>
      <w:r>
        <w:rPr>
          <w:rFonts w:hint="eastAsia" w:ascii="仿宋_GB2312" w:hAnsi="仿宋_GB2312" w:eastAsia="仿宋_GB2312"/>
          <w:kern w:val="0"/>
          <w:sz w:val="32"/>
          <w:szCs w:val="32"/>
        </w:rPr>
        <w:t>心内科主治医师以上（含主治医师）签名的治疗计划。</w:t>
      </w:r>
    </w:p>
    <w:p w14:paraId="0B54CD58">
      <w:pPr>
        <w:overflowPunct w:val="0"/>
        <w:autoSpaceDE w:val="0"/>
        <w:autoSpaceDN w:val="0"/>
        <w:adjustRightInd w:val="0"/>
        <w:snapToGrid w:val="0"/>
        <w:spacing w:line="570" w:lineRule="exact"/>
        <w:ind w:firstLine="640" w:firstLineChars="200"/>
        <w:rPr>
          <w:rFonts w:ascii="楷体_GB2312" w:hAnsi="Times New Roman" w:eastAsia="楷体_GB2312"/>
          <w:bCs/>
          <w:sz w:val="32"/>
          <w:szCs w:val="32"/>
        </w:rPr>
      </w:pPr>
      <w:r>
        <w:rPr>
          <w:rFonts w:hint="eastAsia" w:ascii="楷体_GB2312" w:hAnsi="Times New Roman" w:eastAsia="楷体_GB2312"/>
          <w:bCs/>
          <w:sz w:val="32"/>
          <w:szCs w:val="32"/>
        </w:rPr>
        <w:t>（二）治疗指征（认定标准）</w:t>
      </w:r>
    </w:p>
    <w:p w14:paraId="41620654">
      <w:pPr>
        <w:overflowPunct w:val="0"/>
        <w:autoSpaceDE w:val="0"/>
        <w:autoSpaceDN w:val="0"/>
        <w:adjustRightInd w:val="0"/>
        <w:snapToGrid w:val="0"/>
        <w:spacing w:line="570" w:lineRule="exact"/>
        <w:rPr>
          <w:rFonts w:ascii="仿宋_GB2312" w:hAnsi="Times New Roman" w:eastAsia="仿宋_GB2312"/>
          <w:kern w:val="0"/>
          <w:sz w:val="32"/>
          <w:szCs w:val="32"/>
        </w:rPr>
      </w:pPr>
      <w:r>
        <w:rPr>
          <w:rFonts w:hint="eastAsia" w:ascii="仿宋_GB2312" w:hAnsi="Times New Roman" w:eastAsia="仿宋_GB2312"/>
          <w:kern w:val="0"/>
          <w:sz w:val="32"/>
          <w:szCs w:val="32"/>
        </w:rPr>
        <w:t xml:space="preserve">    </w:t>
      </w:r>
      <w:r>
        <w:rPr>
          <w:rFonts w:hint="eastAsia" w:ascii="仿宋_GB2312" w:hAnsi="仿宋_GB2312" w:eastAsia="仿宋_GB2312"/>
          <w:kern w:val="0"/>
          <w:sz w:val="32"/>
          <w:szCs w:val="32"/>
        </w:rPr>
        <w:t>同时符合下列各项：</w:t>
      </w:r>
    </w:p>
    <w:p w14:paraId="4BB1EA7D">
      <w:pPr>
        <w:overflowPunct w:val="0"/>
        <w:autoSpaceDE w:val="0"/>
        <w:autoSpaceDN w:val="0"/>
        <w:adjustRightInd w:val="0"/>
        <w:snapToGrid w:val="0"/>
        <w:spacing w:line="570" w:lineRule="exact"/>
        <w:rPr>
          <w:rFonts w:ascii="仿宋_GB2312" w:hAnsi="Times New Roman" w:eastAsia="仿宋_GB2312"/>
          <w:kern w:val="0"/>
          <w:sz w:val="32"/>
          <w:szCs w:val="32"/>
        </w:rPr>
      </w:pPr>
      <w:r>
        <w:rPr>
          <w:rFonts w:hint="eastAsia" w:ascii="仿宋_GB2312" w:hAnsi="Times New Roman" w:eastAsia="仿宋_GB2312"/>
          <w:kern w:val="0"/>
          <w:sz w:val="32"/>
          <w:szCs w:val="32"/>
        </w:rPr>
        <w:t xml:space="preserve">    1.</w:t>
      </w:r>
      <w:r>
        <w:rPr>
          <w:rFonts w:hint="eastAsia" w:ascii="仿宋_GB2312" w:hAnsi="仿宋_GB2312" w:eastAsia="仿宋_GB2312"/>
          <w:kern w:val="0"/>
          <w:sz w:val="32"/>
          <w:szCs w:val="32"/>
        </w:rPr>
        <w:t>在克山病病区连续生活</w:t>
      </w:r>
      <w:r>
        <w:rPr>
          <w:rFonts w:hint="eastAsia" w:ascii="仿宋_GB2312" w:hAnsi="Times New Roman" w:eastAsia="仿宋_GB2312"/>
          <w:kern w:val="0"/>
          <w:sz w:val="32"/>
          <w:szCs w:val="32"/>
        </w:rPr>
        <w:t>6</w:t>
      </w:r>
      <w:r>
        <w:rPr>
          <w:rFonts w:hint="eastAsia" w:ascii="仿宋_GB2312" w:hAnsi="仿宋_GB2312" w:eastAsia="仿宋_GB2312"/>
          <w:kern w:val="0"/>
          <w:sz w:val="32"/>
          <w:szCs w:val="32"/>
        </w:rPr>
        <w:t>个月以上，具有心肌病或心力衰竭以及严重心律失常的临床表现，心功能Ⅱ级以上；</w:t>
      </w:r>
    </w:p>
    <w:p w14:paraId="12FE2350">
      <w:pPr>
        <w:overflowPunct w:val="0"/>
        <w:autoSpaceDE w:val="0"/>
        <w:autoSpaceDN w:val="0"/>
        <w:adjustRightInd w:val="0"/>
        <w:snapToGrid w:val="0"/>
        <w:spacing w:line="570" w:lineRule="exact"/>
        <w:rPr>
          <w:rFonts w:ascii="仿宋_GB2312" w:hAnsi="Times New Roman" w:eastAsia="仿宋_GB2312"/>
          <w:kern w:val="0"/>
          <w:sz w:val="32"/>
          <w:szCs w:val="32"/>
        </w:rPr>
      </w:pPr>
      <w:r>
        <w:rPr>
          <w:rFonts w:hint="eastAsia" w:ascii="仿宋_GB2312" w:hAnsi="Times New Roman" w:eastAsia="仿宋_GB2312"/>
          <w:kern w:val="0"/>
          <w:sz w:val="32"/>
          <w:szCs w:val="32"/>
        </w:rPr>
        <w:t xml:space="preserve">    2.</w:t>
      </w:r>
      <w:r>
        <w:rPr>
          <w:rFonts w:hint="eastAsia" w:ascii="仿宋_GB2312" w:hAnsi="仿宋_GB2312" w:eastAsia="仿宋_GB2312"/>
          <w:kern w:val="0"/>
          <w:sz w:val="32"/>
          <w:szCs w:val="32"/>
        </w:rPr>
        <w:t>心电图、胸部</w:t>
      </w:r>
      <w:r>
        <w:rPr>
          <w:rFonts w:hint="eastAsia" w:ascii="仿宋_GB2312" w:hAnsi="Times New Roman" w:eastAsia="仿宋_GB2312"/>
          <w:kern w:val="0"/>
          <w:sz w:val="32"/>
          <w:szCs w:val="32"/>
        </w:rPr>
        <w:t xml:space="preserve">X </w:t>
      </w:r>
      <w:r>
        <w:rPr>
          <w:rFonts w:hint="eastAsia" w:ascii="仿宋_GB2312" w:hAnsi="仿宋_GB2312" w:eastAsia="仿宋_GB2312"/>
          <w:kern w:val="0"/>
          <w:sz w:val="32"/>
          <w:szCs w:val="32"/>
        </w:rPr>
        <w:t>线或超声心动图诊断；</w:t>
      </w:r>
    </w:p>
    <w:p w14:paraId="0E62826B">
      <w:pPr>
        <w:overflowPunct w:val="0"/>
        <w:autoSpaceDE w:val="0"/>
        <w:autoSpaceDN w:val="0"/>
        <w:adjustRightInd w:val="0"/>
        <w:snapToGrid w:val="0"/>
        <w:spacing w:line="570" w:lineRule="exact"/>
        <w:rPr>
          <w:rFonts w:ascii="仿宋_GB2312" w:hAnsi="Times New Roman" w:eastAsia="仿宋_GB2312"/>
          <w:kern w:val="0"/>
          <w:sz w:val="32"/>
          <w:szCs w:val="32"/>
        </w:rPr>
      </w:pPr>
      <w:r>
        <w:rPr>
          <w:rFonts w:hint="eastAsia" w:ascii="仿宋_GB2312" w:hAnsi="Times New Roman" w:eastAsia="仿宋_GB2312"/>
          <w:kern w:val="0"/>
          <w:sz w:val="32"/>
          <w:szCs w:val="32"/>
        </w:rPr>
        <w:t xml:space="preserve">    3.</w:t>
      </w:r>
      <w:r>
        <w:rPr>
          <w:rFonts w:hint="eastAsia" w:ascii="仿宋_GB2312" w:hAnsi="仿宋_GB2312" w:eastAsia="仿宋_GB2312"/>
          <w:kern w:val="0"/>
          <w:sz w:val="32"/>
          <w:szCs w:val="32"/>
        </w:rPr>
        <w:t>排除心肌病在内的其他心脏疾病。</w:t>
      </w:r>
    </w:p>
    <w:p w14:paraId="355E9471">
      <w:pPr>
        <w:overflowPunct w:val="0"/>
        <w:autoSpaceDE w:val="0"/>
        <w:autoSpaceDN w:val="0"/>
        <w:adjustRightInd w:val="0"/>
        <w:snapToGrid w:val="0"/>
        <w:spacing w:line="570" w:lineRule="exact"/>
        <w:ind w:firstLine="640" w:firstLineChars="200"/>
        <w:rPr>
          <w:rFonts w:ascii="楷体_GB2312" w:hAnsi="Times New Roman" w:eastAsia="楷体_GB2312"/>
          <w:bCs/>
          <w:sz w:val="32"/>
          <w:szCs w:val="32"/>
        </w:rPr>
      </w:pPr>
      <w:r>
        <w:rPr>
          <w:rFonts w:hint="eastAsia" w:ascii="楷体_GB2312" w:hAnsi="Times New Roman" w:eastAsia="楷体_GB2312"/>
          <w:bCs/>
          <w:sz w:val="32"/>
          <w:szCs w:val="32"/>
        </w:rPr>
        <w:t>（三）门诊诊疗范围</w:t>
      </w:r>
    </w:p>
    <w:p w14:paraId="1C388B4A">
      <w:pPr>
        <w:overflowPunct w:val="0"/>
        <w:autoSpaceDE w:val="0"/>
        <w:autoSpaceDN w:val="0"/>
        <w:adjustRightInd w:val="0"/>
        <w:snapToGrid w:val="0"/>
        <w:spacing w:line="570" w:lineRule="exact"/>
        <w:rPr>
          <w:rFonts w:ascii="仿宋_GB2312" w:hAnsi="Times New Roman" w:eastAsia="仿宋_GB2312"/>
          <w:kern w:val="0"/>
          <w:sz w:val="32"/>
          <w:szCs w:val="32"/>
        </w:rPr>
      </w:pPr>
      <w:r>
        <w:rPr>
          <w:rFonts w:hint="eastAsia" w:ascii="仿宋_GB2312" w:hAnsi="Times New Roman" w:eastAsia="仿宋_GB2312"/>
          <w:sz w:val="32"/>
          <w:szCs w:val="32"/>
        </w:rPr>
        <w:t xml:space="preserve">    </w:t>
      </w:r>
      <w:r>
        <w:rPr>
          <w:rFonts w:hint="eastAsia" w:ascii="仿宋_GB2312" w:hAnsi="Times New Roman" w:eastAsia="仿宋_GB2312"/>
          <w:kern w:val="0"/>
          <w:sz w:val="32"/>
          <w:szCs w:val="32"/>
        </w:rPr>
        <w:t>1.</w:t>
      </w:r>
      <w:r>
        <w:rPr>
          <w:rFonts w:hint="eastAsia" w:ascii="仿宋_GB2312" w:hAnsi="仿宋_GB2312" w:eastAsia="仿宋_GB2312"/>
          <w:kern w:val="0"/>
          <w:sz w:val="32"/>
          <w:szCs w:val="32"/>
        </w:rPr>
        <w:t>控制感染、平喘、扩张支气管、化痰、止咳药物；</w:t>
      </w:r>
    </w:p>
    <w:p w14:paraId="139E412F">
      <w:pPr>
        <w:overflowPunct w:val="0"/>
        <w:autoSpaceDE w:val="0"/>
        <w:autoSpaceDN w:val="0"/>
        <w:adjustRightInd w:val="0"/>
        <w:snapToGrid w:val="0"/>
        <w:spacing w:line="570" w:lineRule="exact"/>
        <w:rPr>
          <w:rFonts w:ascii="仿宋_GB2312" w:hAnsi="Times New Roman" w:eastAsia="仿宋_GB2312"/>
          <w:kern w:val="0"/>
          <w:sz w:val="32"/>
          <w:szCs w:val="32"/>
        </w:rPr>
      </w:pPr>
      <w:r>
        <w:rPr>
          <w:rFonts w:hint="eastAsia" w:ascii="仿宋_GB2312" w:hAnsi="Times New Roman" w:eastAsia="仿宋_GB2312"/>
          <w:kern w:val="0"/>
          <w:sz w:val="32"/>
          <w:szCs w:val="32"/>
        </w:rPr>
        <w:t xml:space="preserve">    2.</w:t>
      </w:r>
      <w:r>
        <w:rPr>
          <w:rFonts w:hint="eastAsia" w:ascii="仿宋_GB2312" w:hAnsi="仿宋_GB2312" w:eastAsia="仿宋_GB2312"/>
          <w:kern w:val="0"/>
          <w:sz w:val="32"/>
          <w:szCs w:val="32"/>
        </w:rPr>
        <w:t>控制心力衰竭和心律失常的治疗，以及大剂量维生素</w:t>
      </w:r>
      <w:r>
        <w:rPr>
          <w:rFonts w:hint="eastAsia" w:ascii="仿宋_GB2312" w:hAnsi="Times New Roman" w:eastAsia="仿宋_GB2312"/>
          <w:kern w:val="0"/>
          <w:sz w:val="32"/>
          <w:szCs w:val="32"/>
        </w:rPr>
        <w:t>C</w:t>
      </w:r>
      <w:r>
        <w:rPr>
          <w:rFonts w:hint="eastAsia" w:ascii="仿宋_GB2312" w:hAnsi="仿宋_GB2312" w:eastAsia="仿宋_GB2312"/>
          <w:kern w:val="0"/>
          <w:sz w:val="32"/>
          <w:szCs w:val="32"/>
        </w:rPr>
        <w:t>静脉注射等；</w:t>
      </w:r>
    </w:p>
    <w:p w14:paraId="1399B7C1">
      <w:pPr>
        <w:overflowPunct w:val="0"/>
        <w:autoSpaceDE w:val="0"/>
        <w:autoSpaceDN w:val="0"/>
        <w:adjustRightInd w:val="0"/>
        <w:snapToGrid w:val="0"/>
        <w:spacing w:line="570" w:lineRule="exact"/>
        <w:rPr>
          <w:rFonts w:ascii="仿宋_GB2312" w:hAnsi="Times New Roman" w:eastAsia="仿宋_GB2312"/>
          <w:kern w:val="0"/>
          <w:sz w:val="32"/>
          <w:szCs w:val="32"/>
        </w:rPr>
      </w:pPr>
      <w:r>
        <w:rPr>
          <w:rFonts w:hint="eastAsia" w:ascii="仿宋_GB2312" w:hAnsi="Times New Roman" w:eastAsia="仿宋_GB2312"/>
          <w:kern w:val="0"/>
          <w:sz w:val="32"/>
          <w:szCs w:val="32"/>
        </w:rPr>
        <w:t xml:space="preserve">    3.</w:t>
      </w:r>
      <w:r>
        <w:rPr>
          <w:rFonts w:hint="eastAsia" w:ascii="仿宋_GB2312" w:hAnsi="仿宋_GB2312" w:eastAsia="仿宋_GB2312"/>
          <w:kern w:val="0"/>
          <w:sz w:val="32"/>
          <w:szCs w:val="32"/>
        </w:rPr>
        <w:t>治疗期间及治疗后的相关检查。</w:t>
      </w:r>
    </w:p>
    <w:p w14:paraId="63CB6FAE">
      <w:pPr>
        <w:overflowPunct w:val="0"/>
        <w:autoSpaceDE w:val="0"/>
        <w:autoSpaceDN w:val="0"/>
        <w:adjustRightInd w:val="0"/>
        <w:snapToGrid w:val="0"/>
        <w:spacing w:line="570" w:lineRule="exact"/>
        <w:ind w:firstLine="640" w:firstLineChars="200"/>
        <w:rPr>
          <w:rFonts w:ascii="楷体_GB2312" w:hAnsi="Times New Roman" w:eastAsia="楷体_GB2312"/>
          <w:bCs/>
          <w:sz w:val="32"/>
          <w:szCs w:val="32"/>
        </w:rPr>
      </w:pPr>
      <w:r>
        <w:rPr>
          <w:rFonts w:hint="eastAsia" w:ascii="楷体_GB2312" w:hAnsi="Times New Roman" w:eastAsia="楷体_GB2312"/>
          <w:bCs/>
          <w:sz w:val="32"/>
          <w:szCs w:val="32"/>
        </w:rPr>
        <w:t>（四）复审期限</w:t>
      </w:r>
    </w:p>
    <w:p w14:paraId="0CD02B80">
      <w:pPr>
        <w:overflowPunct w:val="0"/>
        <w:autoSpaceDE w:val="0"/>
        <w:autoSpaceDN w:val="0"/>
        <w:adjustRightInd w:val="0"/>
        <w:snapToGrid w:val="0"/>
        <w:spacing w:line="570" w:lineRule="exact"/>
        <w:ind w:firstLine="640"/>
        <w:rPr>
          <w:rFonts w:ascii="仿宋_GB2312" w:hAnsi="仿宋_GB2312" w:eastAsia="仿宋_GB2312"/>
          <w:sz w:val="32"/>
          <w:szCs w:val="32"/>
        </w:rPr>
      </w:pPr>
      <w:r>
        <w:rPr>
          <w:rFonts w:hint="eastAsia" w:ascii="仿宋_GB2312" w:hAnsi="仿宋_GB2312" w:eastAsia="仿宋_GB2312"/>
          <w:sz w:val="32"/>
          <w:szCs w:val="32"/>
        </w:rPr>
        <w:t>长期。</w:t>
      </w:r>
    </w:p>
    <w:p w14:paraId="300402A6">
      <w:pPr>
        <w:pStyle w:val="12"/>
        <w:widowControl w:val="0"/>
        <w:overflowPunct w:val="0"/>
        <w:autoSpaceDE w:val="0"/>
        <w:autoSpaceDN w:val="0"/>
        <w:adjustRightInd w:val="0"/>
        <w:snapToGrid w:val="0"/>
        <w:spacing w:line="570" w:lineRule="exact"/>
        <w:ind w:firstLine="0"/>
        <w:jc w:val="both"/>
        <w:rPr>
          <w:rFonts w:ascii="黑体" w:hAnsi="黑体" w:eastAsia="黑体"/>
          <w:sz w:val="32"/>
          <w:szCs w:val="32"/>
          <w:lang w:bidi="ar"/>
        </w:rPr>
      </w:pPr>
      <w:r>
        <w:rPr>
          <w:rFonts w:hint="eastAsia" w:ascii="仿宋_GB2312" w:hAnsi="Times New Roman" w:eastAsia="仿宋_GB2312"/>
          <w:bCs/>
          <w:sz w:val="32"/>
          <w:szCs w:val="32"/>
        </w:rPr>
        <w:t xml:space="preserve">   </w:t>
      </w:r>
      <w:r>
        <w:rPr>
          <w:rFonts w:hint="eastAsia" w:ascii="黑体" w:hAnsi="黑体" w:eastAsia="黑体"/>
          <w:bCs/>
          <w:sz w:val="32"/>
          <w:szCs w:val="32"/>
        </w:rPr>
        <w:t xml:space="preserve"> </w:t>
      </w:r>
      <w:r>
        <w:rPr>
          <w:rFonts w:hint="eastAsia" w:ascii="黑体" w:hAnsi="黑体" w:eastAsia="黑体"/>
          <w:bCs/>
          <w:sz w:val="32"/>
          <w:szCs w:val="32"/>
          <w:lang w:val="en"/>
        </w:rPr>
        <w:t>三十</w:t>
      </w:r>
      <w:r>
        <w:rPr>
          <w:rFonts w:hint="eastAsia" w:ascii="黑体" w:hAnsi="黑体" w:eastAsia="黑体"/>
          <w:bCs/>
          <w:sz w:val="32"/>
          <w:szCs w:val="32"/>
        </w:rPr>
        <w:t>三</w:t>
      </w:r>
      <w:r>
        <w:rPr>
          <w:rFonts w:hint="eastAsia" w:ascii="黑体" w:hAnsi="黑体" w:eastAsia="黑体"/>
          <w:bCs/>
          <w:sz w:val="32"/>
          <w:szCs w:val="32"/>
          <w:lang w:val="en"/>
        </w:rPr>
        <w:t>、</w:t>
      </w:r>
      <w:r>
        <w:rPr>
          <w:rFonts w:hint="eastAsia" w:ascii="黑体" w:hAnsi="黑体" w:eastAsia="黑体"/>
          <w:sz w:val="32"/>
          <w:szCs w:val="32"/>
          <w:lang w:eastAsia="zh-Hans" w:bidi="ar"/>
        </w:rPr>
        <w:t>慢性肾功能衰竭</w:t>
      </w:r>
    </w:p>
    <w:p w14:paraId="6AAB4F9E">
      <w:pPr>
        <w:overflowPunct w:val="0"/>
        <w:autoSpaceDE w:val="0"/>
        <w:autoSpaceDN w:val="0"/>
        <w:adjustRightInd w:val="0"/>
        <w:snapToGrid w:val="0"/>
        <w:spacing w:line="570" w:lineRule="exact"/>
        <w:ind w:firstLine="640" w:firstLineChars="200"/>
        <w:rPr>
          <w:rFonts w:ascii="楷体_GB2312" w:hAnsi="Times New Roman" w:eastAsia="楷体_GB2312"/>
          <w:bCs/>
          <w:sz w:val="32"/>
          <w:szCs w:val="32"/>
        </w:rPr>
      </w:pPr>
      <w:r>
        <w:rPr>
          <w:rFonts w:hint="eastAsia" w:ascii="楷体_GB2312" w:hAnsi="Times New Roman" w:eastAsia="楷体_GB2312"/>
          <w:bCs/>
          <w:sz w:val="32"/>
          <w:szCs w:val="32"/>
        </w:rPr>
        <w:t>（一）申报资料</w:t>
      </w:r>
    </w:p>
    <w:p w14:paraId="30878065">
      <w:pPr>
        <w:overflowPunct w:val="0"/>
        <w:autoSpaceDE w:val="0"/>
        <w:autoSpaceDN w:val="0"/>
        <w:adjustRightInd w:val="0"/>
        <w:snapToGrid w:val="0"/>
        <w:spacing w:line="570" w:lineRule="exact"/>
        <w:rPr>
          <w:rFonts w:ascii="仿宋_GB2312" w:hAnsi="Times New Roman" w:eastAsia="仿宋_GB2312"/>
          <w:sz w:val="32"/>
          <w:szCs w:val="32"/>
        </w:rPr>
      </w:pPr>
      <w:r>
        <w:rPr>
          <w:rFonts w:hint="eastAsia" w:ascii="仿宋_GB2312" w:hAnsi="Times New Roman" w:eastAsia="仿宋_GB2312"/>
          <w:sz w:val="32"/>
          <w:szCs w:val="32"/>
        </w:rPr>
        <w:t xml:space="preserve">    1.须提供患者本人近三月医保定点医疗机构与所申报病种相符合的临床资料（盖治疗医院印章）：（1）相关住院病历或体检资料，包括病史、症状、体征等（此项首次办理必备）（2）肾脏病相关检查资料：血常规、尿常规、不在同一天的两次尿蛋白定量（U-TP/24h）和/或尿白蛋白尿排泄率（AER）和/或尿白蛋白/肌酐比值（尿ACR）、血肌酐（SCr）、血尿素氮（BUN）、肾小球滤过率（eGFR）/或内生肌酐清除率（Ccr）、肾小管功能等（3）或有医学影像相关检查资料：双肾超声等（4）或有肾脏病理学诊断资料；</w:t>
      </w:r>
    </w:p>
    <w:p w14:paraId="668E1531">
      <w:pPr>
        <w:overflowPunct w:val="0"/>
        <w:autoSpaceDE w:val="0"/>
        <w:autoSpaceDN w:val="0"/>
        <w:adjustRightInd w:val="0"/>
        <w:snapToGrid w:val="0"/>
        <w:spacing w:line="570" w:lineRule="exact"/>
        <w:rPr>
          <w:rFonts w:ascii="仿宋_GB2312" w:hAnsi="Times New Roman" w:eastAsia="仿宋_GB2312"/>
          <w:sz w:val="32"/>
          <w:szCs w:val="32"/>
        </w:rPr>
      </w:pPr>
      <w:r>
        <w:rPr>
          <w:rFonts w:hint="eastAsia" w:ascii="仿宋_GB2312" w:hAnsi="Times New Roman" w:eastAsia="仿宋_GB2312"/>
          <w:sz w:val="32"/>
          <w:szCs w:val="32"/>
        </w:rPr>
        <w:t xml:space="preserve">    2.医保定点医疗机构副主任医师及以上或肾内科主治医师及以上职称签名开具的CKD（3b期-5期）或CRF（尿毒症期）的诊断证明；</w:t>
      </w:r>
    </w:p>
    <w:p w14:paraId="23994F7B">
      <w:pPr>
        <w:overflowPunct w:val="0"/>
        <w:autoSpaceDE w:val="0"/>
        <w:autoSpaceDN w:val="0"/>
        <w:adjustRightInd w:val="0"/>
        <w:snapToGrid w:val="0"/>
        <w:spacing w:line="570" w:lineRule="exact"/>
        <w:ind w:firstLine="640"/>
        <w:rPr>
          <w:rFonts w:ascii="仿宋_GB2312" w:hAnsi="Times New Roman" w:eastAsia="仿宋_GB2312"/>
          <w:sz w:val="32"/>
          <w:szCs w:val="32"/>
        </w:rPr>
      </w:pPr>
      <w:r>
        <w:rPr>
          <w:rFonts w:hint="eastAsia" w:ascii="仿宋_GB2312" w:hAnsi="Times New Roman" w:eastAsia="仿宋_GB2312"/>
          <w:sz w:val="32"/>
          <w:szCs w:val="32"/>
        </w:rPr>
        <w:t xml:space="preserve">3.门诊非透析诊疗计划（含MDT或会诊意见）。 </w:t>
      </w:r>
    </w:p>
    <w:p w14:paraId="4CBF4C79">
      <w:pPr>
        <w:overflowPunct w:val="0"/>
        <w:autoSpaceDE w:val="0"/>
        <w:autoSpaceDN w:val="0"/>
        <w:adjustRightInd w:val="0"/>
        <w:snapToGrid w:val="0"/>
        <w:spacing w:line="570" w:lineRule="exact"/>
        <w:ind w:firstLine="640" w:firstLineChars="200"/>
        <w:rPr>
          <w:rFonts w:ascii="楷体_GB2312" w:hAnsi="Times New Roman" w:eastAsia="楷体_GB2312"/>
          <w:bCs/>
          <w:sz w:val="32"/>
          <w:szCs w:val="32"/>
        </w:rPr>
      </w:pPr>
      <w:r>
        <w:rPr>
          <w:rFonts w:hint="eastAsia" w:ascii="楷体_GB2312" w:hAnsi="Times New Roman" w:eastAsia="楷体_GB2312"/>
          <w:bCs/>
          <w:sz w:val="32"/>
          <w:szCs w:val="32"/>
        </w:rPr>
        <w:t>（二）治疗指征（认定标准）</w:t>
      </w:r>
    </w:p>
    <w:p w14:paraId="06C8B13A">
      <w:pPr>
        <w:overflowPunct w:val="0"/>
        <w:autoSpaceDE w:val="0"/>
        <w:autoSpaceDN w:val="0"/>
        <w:adjustRightInd w:val="0"/>
        <w:snapToGrid w:val="0"/>
        <w:spacing w:line="570" w:lineRule="exact"/>
        <w:rPr>
          <w:rFonts w:ascii="仿宋_GB2312" w:hAnsi="Times New Roman" w:eastAsia="仿宋_GB2312"/>
          <w:sz w:val="32"/>
          <w:szCs w:val="32"/>
        </w:rPr>
      </w:pPr>
      <w:r>
        <w:rPr>
          <w:rFonts w:hint="eastAsia" w:ascii="仿宋_GB2312" w:hAnsi="Times New Roman" w:eastAsia="仿宋_GB2312"/>
          <w:sz w:val="32"/>
          <w:szCs w:val="32"/>
        </w:rPr>
        <w:t xml:space="preserve">    1.达到国内现行</w:t>
      </w:r>
      <w:r>
        <w:rPr>
          <w:rFonts w:hint="eastAsia" w:ascii="仿宋_GB2312" w:hAnsi="Times New Roman" w:eastAsia="仿宋_GB2312"/>
          <w:bCs/>
          <w:sz w:val="32"/>
          <w:szCs w:val="32"/>
        </w:rPr>
        <w:t>CKD（3b期-5期）或CRF（尿毒症期）</w:t>
      </w:r>
      <w:r>
        <w:rPr>
          <w:rFonts w:hint="eastAsia" w:ascii="仿宋_GB2312" w:hAnsi="Times New Roman" w:eastAsia="仿宋_GB2312"/>
          <w:sz w:val="32"/>
          <w:szCs w:val="32"/>
        </w:rPr>
        <w:t>的诊断标准</w:t>
      </w:r>
      <w:r>
        <w:rPr>
          <w:rFonts w:hint="eastAsia" w:ascii="仿宋_GB2312" w:eastAsia="仿宋_GB2312"/>
          <w:sz w:val="32"/>
          <w:szCs w:val="32"/>
        </w:rPr>
        <w:t>：</w:t>
      </w:r>
      <w:r>
        <w:rPr>
          <w:rFonts w:hint="eastAsia" w:ascii="仿宋_GB2312" w:hAnsi="Times New Roman" w:eastAsia="仿宋_GB2312"/>
          <w:sz w:val="32"/>
          <w:szCs w:val="32"/>
        </w:rPr>
        <w:t>（1）各种原因导致的慢性肾脏病（CKD），包括原发性肾小球疾病、</w:t>
      </w:r>
      <w:r>
        <w:rPr>
          <w:rFonts w:hint="eastAsia" w:ascii="仿宋_GB2312" w:hAnsi="Times New Roman" w:eastAsia="仿宋_GB2312"/>
          <w:bCs/>
          <w:sz w:val="32"/>
          <w:szCs w:val="32"/>
        </w:rPr>
        <w:t>遗传性肾小球肾炎、</w:t>
      </w:r>
      <w:r>
        <w:rPr>
          <w:rFonts w:hint="eastAsia" w:ascii="仿宋_GB2312" w:hAnsi="Times New Roman" w:eastAsia="仿宋_GB2312"/>
          <w:sz w:val="32"/>
          <w:szCs w:val="32"/>
        </w:rPr>
        <w:t>多囊肾</w:t>
      </w:r>
      <w:r>
        <w:rPr>
          <w:rFonts w:hint="eastAsia" w:ascii="仿宋_GB2312" w:hAnsi="Times New Roman" w:eastAsia="仿宋_GB2312"/>
          <w:bCs/>
          <w:sz w:val="32"/>
          <w:szCs w:val="32"/>
        </w:rPr>
        <w:t>，各种继发性肾脏病（</w:t>
      </w:r>
      <w:r>
        <w:rPr>
          <w:rFonts w:hint="eastAsia" w:ascii="仿宋_GB2312" w:hAnsi="Times New Roman" w:eastAsia="仿宋_GB2312"/>
          <w:sz w:val="32"/>
          <w:szCs w:val="32"/>
        </w:rPr>
        <w:t>高血压肾损害、糖尿病肾病、系统性红斑狼疮性肾炎、过敏性紫癜性肾炎、ANCA血管炎相关性肾炎、尿酸性肾病、乙肝相关性肾炎</w:t>
      </w:r>
      <w:r>
        <w:rPr>
          <w:rFonts w:hint="eastAsia" w:ascii="仿宋_GB2312" w:hAnsi="Times New Roman" w:eastAsia="仿宋_GB2312"/>
          <w:bCs/>
          <w:sz w:val="32"/>
          <w:szCs w:val="32"/>
        </w:rPr>
        <w:t>）</w:t>
      </w:r>
      <w:r>
        <w:rPr>
          <w:rFonts w:hint="eastAsia" w:ascii="仿宋_GB2312" w:hAnsi="Times New Roman" w:eastAsia="仿宋_GB2312"/>
          <w:sz w:val="32"/>
          <w:szCs w:val="32"/>
        </w:rPr>
        <w:t>等,存在</w:t>
      </w:r>
      <w:r>
        <w:rPr>
          <w:rFonts w:hint="eastAsia" w:ascii="仿宋_GB2312" w:hAnsi="Times New Roman" w:eastAsia="仿宋_GB2312"/>
          <w:bCs/>
          <w:sz w:val="32"/>
          <w:szCs w:val="32"/>
        </w:rPr>
        <w:t>尿检异常（血尿、蛋白尿）</w:t>
      </w:r>
      <w:r>
        <w:rPr>
          <w:rFonts w:hint="eastAsia" w:ascii="仿宋_GB2312" w:hAnsi="Times New Roman" w:eastAsia="仿宋_GB2312"/>
          <w:sz w:val="32"/>
          <w:szCs w:val="32"/>
        </w:rPr>
        <w:t>（2）eGFR/CCr 45-30ml/min为CKD3b期；eGFR/CCr 29-15ml/min为CKD4期；eGFR/CCr &lt;15ml/min为CKD 5期；</w:t>
      </w:r>
    </w:p>
    <w:p w14:paraId="303934FF">
      <w:pPr>
        <w:overflowPunct w:val="0"/>
        <w:autoSpaceDE w:val="0"/>
        <w:autoSpaceDN w:val="0"/>
        <w:adjustRightInd w:val="0"/>
        <w:snapToGrid w:val="0"/>
        <w:spacing w:line="570" w:lineRule="exact"/>
        <w:rPr>
          <w:rFonts w:ascii="仿宋_GB2312" w:hAnsi="Times New Roman" w:eastAsia="仿宋_GB2312"/>
          <w:kern w:val="0"/>
          <w:sz w:val="32"/>
          <w:szCs w:val="32"/>
          <w:highlight w:val="green"/>
        </w:rPr>
      </w:pPr>
      <w:r>
        <w:rPr>
          <w:rFonts w:hint="eastAsia" w:ascii="仿宋_GB2312" w:hAnsi="Times New Roman" w:eastAsia="仿宋_GB2312"/>
          <w:sz w:val="32"/>
          <w:szCs w:val="32"/>
        </w:rPr>
        <w:t xml:space="preserve">    2.应用非透析治疗或不愿接受HD/PD治疗者。</w:t>
      </w:r>
    </w:p>
    <w:p w14:paraId="2E7040C4">
      <w:pPr>
        <w:overflowPunct w:val="0"/>
        <w:autoSpaceDE w:val="0"/>
        <w:autoSpaceDN w:val="0"/>
        <w:adjustRightInd w:val="0"/>
        <w:snapToGrid w:val="0"/>
        <w:spacing w:line="570" w:lineRule="exact"/>
        <w:ind w:firstLine="640" w:firstLineChars="200"/>
        <w:rPr>
          <w:rFonts w:ascii="楷体_GB2312" w:hAnsi="Times New Roman" w:eastAsia="楷体_GB2312"/>
          <w:bCs/>
          <w:sz w:val="32"/>
          <w:szCs w:val="32"/>
        </w:rPr>
      </w:pPr>
      <w:r>
        <w:rPr>
          <w:rFonts w:hint="eastAsia" w:ascii="楷体_GB2312" w:hAnsi="Times New Roman" w:eastAsia="楷体_GB2312"/>
          <w:bCs/>
          <w:sz w:val="32"/>
          <w:szCs w:val="32"/>
        </w:rPr>
        <w:t>（三）门诊诊疗范围</w:t>
      </w:r>
    </w:p>
    <w:p w14:paraId="59621C15">
      <w:pPr>
        <w:overflowPunct w:val="0"/>
        <w:autoSpaceDE w:val="0"/>
        <w:autoSpaceDN w:val="0"/>
        <w:adjustRightInd w:val="0"/>
        <w:snapToGrid w:val="0"/>
        <w:spacing w:line="570" w:lineRule="exact"/>
        <w:rPr>
          <w:rFonts w:ascii="仿宋_GB2312" w:hAnsi="Times New Roman" w:eastAsia="仿宋_GB2312"/>
          <w:sz w:val="32"/>
          <w:szCs w:val="32"/>
        </w:rPr>
      </w:pPr>
      <w:r>
        <w:rPr>
          <w:rFonts w:hint="eastAsia" w:ascii="仿宋_GB2312" w:hAnsi="Times New Roman" w:eastAsia="仿宋_GB2312"/>
          <w:sz w:val="32"/>
          <w:szCs w:val="32"/>
        </w:rPr>
        <w:t xml:space="preserve">    1.原发病及并发症的基础治疗；</w:t>
      </w:r>
    </w:p>
    <w:p w14:paraId="5BCBC8E5">
      <w:pPr>
        <w:overflowPunct w:val="0"/>
        <w:autoSpaceDE w:val="0"/>
        <w:autoSpaceDN w:val="0"/>
        <w:adjustRightInd w:val="0"/>
        <w:snapToGrid w:val="0"/>
        <w:spacing w:line="570" w:lineRule="exact"/>
        <w:rPr>
          <w:rFonts w:ascii="仿宋_GB2312" w:hAnsi="Times New Roman" w:eastAsia="仿宋_GB2312"/>
          <w:sz w:val="32"/>
          <w:szCs w:val="32"/>
        </w:rPr>
      </w:pPr>
      <w:r>
        <w:rPr>
          <w:rFonts w:hint="eastAsia" w:ascii="仿宋_GB2312" w:hAnsi="Times New Roman" w:eastAsia="仿宋_GB2312"/>
          <w:sz w:val="32"/>
          <w:szCs w:val="32"/>
        </w:rPr>
        <w:t xml:space="preserve">    2.符合疾病诊断的相关药物治疗；</w:t>
      </w:r>
    </w:p>
    <w:p w14:paraId="096F6E4B">
      <w:pPr>
        <w:overflowPunct w:val="0"/>
        <w:autoSpaceDE w:val="0"/>
        <w:autoSpaceDN w:val="0"/>
        <w:adjustRightInd w:val="0"/>
        <w:snapToGrid w:val="0"/>
        <w:spacing w:line="570" w:lineRule="exact"/>
        <w:rPr>
          <w:rFonts w:ascii="仿宋_GB2312" w:hAnsi="Times New Roman" w:eastAsia="仿宋_GB2312"/>
          <w:sz w:val="32"/>
          <w:szCs w:val="32"/>
        </w:rPr>
      </w:pPr>
      <w:r>
        <w:rPr>
          <w:rFonts w:hint="eastAsia" w:ascii="仿宋_GB2312" w:hAnsi="Times New Roman" w:eastAsia="仿宋_GB2312"/>
          <w:sz w:val="32"/>
          <w:szCs w:val="32"/>
        </w:rPr>
        <w:t xml:space="preserve">    3.结肠透析治疗费（含药物及治疗费）；</w:t>
      </w:r>
    </w:p>
    <w:p w14:paraId="0FF8844D">
      <w:pPr>
        <w:overflowPunct w:val="0"/>
        <w:autoSpaceDE w:val="0"/>
        <w:autoSpaceDN w:val="0"/>
        <w:adjustRightInd w:val="0"/>
        <w:snapToGrid w:val="0"/>
        <w:spacing w:line="570" w:lineRule="exact"/>
        <w:rPr>
          <w:rFonts w:ascii="仿宋_GB2312" w:hAnsi="Times New Roman" w:eastAsia="仿宋_GB2312"/>
          <w:kern w:val="0"/>
          <w:sz w:val="32"/>
          <w:szCs w:val="32"/>
        </w:rPr>
      </w:pPr>
      <w:r>
        <w:rPr>
          <w:rFonts w:hint="eastAsia" w:ascii="仿宋_GB2312" w:hAnsi="Times New Roman" w:eastAsia="仿宋_GB2312"/>
          <w:sz w:val="32"/>
          <w:szCs w:val="32"/>
        </w:rPr>
        <w:t xml:space="preserve">    4.治疗期间的相关检查（包括</w:t>
      </w:r>
      <w:r>
        <w:rPr>
          <w:rFonts w:hint="eastAsia" w:ascii="仿宋_GB2312" w:hAnsi="Times New Roman" w:eastAsia="仿宋_GB2312"/>
          <w:kern w:val="0"/>
          <w:sz w:val="32"/>
          <w:szCs w:val="32"/>
          <w:lang w:eastAsia="zh-Hans" w:bidi="ar"/>
        </w:rPr>
        <w:t>眼底检查</w:t>
      </w:r>
      <w:r>
        <w:rPr>
          <w:rFonts w:hint="eastAsia" w:ascii="仿宋_GB2312" w:hAnsi="Times New Roman" w:eastAsia="仿宋_GB2312"/>
          <w:kern w:val="0"/>
          <w:sz w:val="32"/>
          <w:szCs w:val="32"/>
          <w:lang w:bidi="ar"/>
        </w:rPr>
        <w:t>等</w:t>
      </w:r>
      <w:r>
        <w:rPr>
          <w:rFonts w:hint="eastAsia" w:ascii="仿宋_GB2312" w:hAnsi="Times New Roman" w:eastAsia="仿宋_GB2312"/>
          <w:sz w:val="32"/>
          <w:szCs w:val="32"/>
        </w:rPr>
        <w:t>）。</w:t>
      </w:r>
    </w:p>
    <w:p w14:paraId="6E3AD379">
      <w:pPr>
        <w:overflowPunct w:val="0"/>
        <w:autoSpaceDE w:val="0"/>
        <w:autoSpaceDN w:val="0"/>
        <w:adjustRightInd w:val="0"/>
        <w:snapToGrid w:val="0"/>
        <w:spacing w:line="570" w:lineRule="exact"/>
        <w:ind w:firstLine="630" w:firstLineChars="197"/>
        <w:rPr>
          <w:rFonts w:ascii="楷体_GB2312" w:hAnsi="Times New Roman" w:eastAsia="楷体_GB2312"/>
          <w:bCs/>
          <w:sz w:val="32"/>
          <w:szCs w:val="32"/>
        </w:rPr>
      </w:pPr>
      <w:r>
        <w:rPr>
          <w:rFonts w:hint="eastAsia" w:ascii="楷体_GB2312" w:hAnsi="Times New Roman" w:eastAsia="楷体_GB2312"/>
          <w:bCs/>
          <w:sz w:val="32"/>
          <w:szCs w:val="32"/>
        </w:rPr>
        <w:t>（四）复审期限</w:t>
      </w:r>
    </w:p>
    <w:p w14:paraId="77DA4A12">
      <w:pPr>
        <w:overflowPunct w:val="0"/>
        <w:autoSpaceDE w:val="0"/>
        <w:autoSpaceDN w:val="0"/>
        <w:adjustRightInd w:val="0"/>
        <w:snapToGrid w:val="0"/>
        <w:spacing w:line="570" w:lineRule="exact"/>
        <w:ind w:firstLine="640"/>
        <w:rPr>
          <w:rFonts w:ascii="仿宋_GB2312" w:hAnsi="Times New Roman" w:eastAsia="仿宋_GB2312"/>
          <w:bCs/>
          <w:kern w:val="0"/>
          <w:sz w:val="32"/>
          <w:szCs w:val="32"/>
        </w:rPr>
      </w:pPr>
      <w:r>
        <w:rPr>
          <w:rFonts w:hint="eastAsia" w:ascii="仿宋_GB2312" w:hAnsi="仿宋_GB2312" w:eastAsia="仿宋_GB2312"/>
          <w:bCs/>
          <w:kern w:val="0"/>
          <w:sz w:val="32"/>
          <w:szCs w:val="32"/>
        </w:rPr>
        <w:t>长期。</w:t>
      </w:r>
    </w:p>
    <w:p w14:paraId="6A6B4749">
      <w:pPr>
        <w:overflowPunct w:val="0"/>
        <w:autoSpaceDE w:val="0"/>
        <w:autoSpaceDN w:val="0"/>
        <w:adjustRightInd w:val="0"/>
        <w:snapToGrid w:val="0"/>
        <w:spacing w:line="570" w:lineRule="exact"/>
        <w:ind w:firstLine="640"/>
        <w:rPr>
          <w:rFonts w:ascii="黑体" w:hAnsi="黑体" w:eastAsia="黑体"/>
          <w:kern w:val="0"/>
          <w:sz w:val="32"/>
          <w:szCs w:val="32"/>
          <w:lang w:bidi="ar"/>
        </w:rPr>
      </w:pPr>
      <w:r>
        <w:rPr>
          <w:rFonts w:hint="eastAsia" w:ascii="黑体" w:hAnsi="黑体" w:eastAsia="黑体"/>
          <w:kern w:val="0"/>
          <w:sz w:val="32"/>
          <w:szCs w:val="32"/>
          <w:lang w:bidi="ar"/>
        </w:rPr>
        <w:t>三十四、</w:t>
      </w:r>
      <w:r>
        <w:rPr>
          <w:rFonts w:hint="eastAsia" w:ascii="黑体" w:hAnsi="黑体" w:eastAsia="黑体"/>
          <w:kern w:val="0"/>
          <w:sz w:val="32"/>
          <w:szCs w:val="32"/>
          <w:lang w:eastAsia="zh-Hans" w:bidi="ar"/>
        </w:rPr>
        <w:t>慢性肾脏病、慢性肾炎、肾病综合征</w:t>
      </w:r>
    </w:p>
    <w:p w14:paraId="1427847D">
      <w:pPr>
        <w:overflowPunct w:val="0"/>
        <w:autoSpaceDE w:val="0"/>
        <w:autoSpaceDN w:val="0"/>
        <w:adjustRightInd w:val="0"/>
        <w:snapToGrid w:val="0"/>
        <w:spacing w:line="570" w:lineRule="exact"/>
        <w:rPr>
          <w:rFonts w:ascii="仿宋_GB2312" w:hAnsi="Times New Roman" w:eastAsia="仿宋_GB2312"/>
          <w:bCs/>
          <w:sz w:val="32"/>
          <w:szCs w:val="32"/>
        </w:rPr>
      </w:pPr>
      <w:r>
        <w:rPr>
          <w:rFonts w:hint="eastAsia" w:ascii="仿宋_GB2312" w:hAnsi="Times New Roman" w:eastAsia="仿宋_GB2312"/>
          <w:bCs/>
          <w:sz w:val="32"/>
          <w:szCs w:val="32"/>
        </w:rPr>
        <w:t xml:space="preserve">   </w:t>
      </w:r>
      <w:r>
        <w:rPr>
          <w:rFonts w:hint="eastAsia" w:ascii="楷体_GB2312" w:hAnsi="Times New Roman" w:eastAsia="楷体_GB2312"/>
          <w:bCs/>
          <w:sz w:val="32"/>
          <w:szCs w:val="32"/>
        </w:rPr>
        <w:t xml:space="preserve"> （一）申报资料</w:t>
      </w:r>
    </w:p>
    <w:p w14:paraId="767C0A18">
      <w:pPr>
        <w:overflowPunct w:val="0"/>
        <w:autoSpaceDE w:val="0"/>
        <w:autoSpaceDN w:val="0"/>
        <w:adjustRightInd w:val="0"/>
        <w:snapToGrid w:val="0"/>
        <w:spacing w:line="570" w:lineRule="exact"/>
        <w:rPr>
          <w:rFonts w:ascii="仿宋_GB2312" w:hAnsi="Times New Roman" w:eastAsia="仿宋_GB2312"/>
          <w:sz w:val="32"/>
          <w:szCs w:val="32"/>
        </w:rPr>
      </w:pPr>
      <w:r>
        <w:rPr>
          <w:rFonts w:hint="eastAsia" w:ascii="仿宋_GB2312" w:hAnsi="Times New Roman" w:eastAsia="仿宋_GB2312"/>
          <w:sz w:val="32"/>
          <w:szCs w:val="32"/>
        </w:rPr>
        <w:t xml:space="preserve">    1.须提供患者本人近三月医保定点医疗机构与所申报病种相符合的临床资料（盖治疗医院印章）：（1）相关住院病历或体检资料，包括病史、症状、体征等（2）肾脏病相关检查资料：血常规、尿常规、尿蛋白定量（U-TP/24h）和/或尿白蛋白尿排泄率（AER）和/或尿白蛋白/肌酐比值（尿ACR）（此项三个月内两次）、血肌酐（SCr）、血尿素氮（BUN）、肾小球滤过率（eGFR）/或内生肌酐清除率（Ccr）、肾小管功能等（3）或有医学影像相关检查资料：双肾超声等（4）或有肾脏病理学诊断资料（肾活检病理诊断为IgA肾病，尿蛋白定量虽未达到肾病综合征诊断标准，按肾病综合征支付）；</w:t>
      </w:r>
    </w:p>
    <w:p w14:paraId="0B366EEB">
      <w:pPr>
        <w:overflowPunct w:val="0"/>
        <w:autoSpaceDE w:val="0"/>
        <w:autoSpaceDN w:val="0"/>
        <w:adjustRightInd w:val="0"/>
        <w:snapToGrid w:val="0"/>
        <w:spacing w:line="570" w:lineRule="exact"/>
        <w:rPr>
          <w:rFonts w:ascii="仿宋_GB2312" w:hAnsi="Times New Roman" w:eastAsia="仿宋_GB2312"/>
          <w:sz w:val="32"/>
          <w:szCs w:val="32"/>
        </w:rPr>
      </w:pPr>
      <w:r>
        <w:rPr>
          <w:rFonts w:hint="eastAsia" w:ascii="仿宋_GB2312" w:hAnsi="Times New Roman" w:eastAsia="仿宋_GB2312"/>
          <w:sz w:val="32"/>
          <w:szCs w:val="32"/>
        </w:rPr>
        <w:t xml:space="preserve">    2.医保定点医疗机构副主任医师及以上或肾内科主治医师及以上职称签名开具的CKD（1-3a期）或肾病综合征的诊断证明；</w:t>
      </w:r>
    </w:p>
    <w:p w14:paraId="59921E06">
      <w:pPr>
        <w:overflowPunct w:val="0"/>
        <w:autoSpaceDE w:val="0"/>
        <w:autoSpaceDN w:val="0"/>
        <w:adjustRightInd w:val="0"/>
        <w:snapToGrid w:val="0"/>
        <w:spacing w:line="570" w:lineRule="exact"/>
        <w:ind w:firstLine="640" w:firstLineChars="200"/>
        <w:rPr>
          <w:rFonts w:ascii="仿宋_GB2312" w:hAnsi="Times New Roman" w:eastAsia="仿宋_GB2312"/>
          <w:sz w:val="32"/>
          <w:szCs w:val="32"/>
        </w:rPr>
      </w:pPr>
      <w:r>
        <w:rPr>
          <w:rFonts w:hint="eastAsia" w:ascii="仿宋_GB2312" w:hAnsi="Times New Roman" w:eastAsia="仿宋_GB2312"/>
          <w:sz w:val="32"/>
          <w:szCs w:val="32"/>
        </w:rPr>
        <w:t xml:space="preserve">3.门诊诊疗计划（含MDT或会诊意见）。  </w:t>
      </w:r>
    </w:p>
    <w:p w14:paraId="0878698C">
      <w:pPr>
        <w:overflowPunct w:val="0"/>
        <w:autoSpaceDE w:val="0"/>
        <w:autoSpaceDN w:val="0"/>
        <w:adjustRightInd w:val="0"/>
        <w:snapToGrid w:val="0"/>
        <w:spacing w:line="570" w:lineRule="exact"/>
        <w:ind w:firstLine="630" w:firstLineChars="197"/>
        <w:rPr>
          <w:rFonts w:ascii="楷体_GB2312" w:hAnsi="Times New Roman" w:eastAsia="楷体_GB2312"/>
          <w:bCs/>
          <w:sz w:val="32"/>
          <w:szCs w:val="32"/>
        </w:rPr>
      </w:pPr>
      <w:r>
        <w:rPr>
          <w:rFonts w:hint="eastAsia" w:ascii="楷体_GB2312" w:hAnsi="Times New Roman" w:eastAsia="楷体_GB2312"/>
          <w:bCs/>
          <w:sz w:val="32"/>
          <w:szCs w:val="32"/>
        </w:rPr>
        <w:t>（二）治疗指征（认定标准）</w:t>
      </w:r>
    </w:p>
    <w:p w14:paraId="00096A2F">
      <w:pPr>
        <w:overflowPunct w:val="0"/>
        <w:autoSpaceDE w:val="0"/>
        <w:autoSpaceDN w:val="0"/>
        <w:adjustRightInd w:val="0"/>
        <w:snapToGrid w:val="0"/>
        <w:spacing w:line="570" w:lineRule="exact"/>
        <w:rPr>
          <w:rFonts w:ascii="仿宋_GB2312" w:hAnsi="Times New Roman" w:eastAsia="仿宋_GB2312"/>
          <w:sz w:val="32"/>
          <w:szCs w:val="32"/>
        </w:rPr>
      </w:pPr>
      <w:r>
        <w:rPr>
          <w:rFonts w:hint="eastAsia" w:ascii="仿宋_GB2312" w:hAnsi="Times New Roman" w:eastAsia="仿宋_GB2312"/>
          <w:sz w:val="32"/>
          <w:szCs w:val="32"/>
        </w:rPr>
        <w:t xml:space="preserve">    1.达到国内现行CKD（1-3a期）或肾病综合征的诊断标准（符合以下两项指征之一）：（1）各种原因导致的慢性肾脏病（CKD），包括原发性肾小球疾病、遗</w:t>
      </w:r>
      <w:r>
        <w:rPr>
          <w:rFonts w:hint="eastAsia" w:ascii="仿宋_GB2312" w:hAnsi="Times New Roman" w:eastAsia="仿宋_GB2312"/>
          <w:bCs/>
          <w:sz w:val="32"/>
          <w:szCs w:val="32"/>
        </w:rPr>
        <w:t>传性肾小球肾炎、</w:t>
      </w:r>
      <w:r>
        <w:rPr>
          <w:rFonts w:hint="eastAsia" w:ascii="仿宋_GB2312" w:hAnsi="Times New Roman" w:eastAsia="仿宋_GB2312"/>
          <w:sz w:val="32"/>
          <w:szCs w:val="32"/>
        </w:rPr>
        <w:t>多囊肾</w:t>
      </w:r>
      <w:r>
        <w:rPr>
          <w:rFonts w:hint="eastAsia" w:ascii="仿宋_GB2312" w:hAnsi="Times New Roman" w:eastAsia="仿宋_GB2312"/>
          <w:bCs/>
          <w:sz w:val="32"/>
          <w:szCs w:val="32"/>
        </w:rPr>
        <w:t>，各种继发性肾脏病（</w:t>
      </w:r>
      <w:r>
        <w:rPr>
          <w:rFonts w:hint="eastAsia" w:ascii="仿宋_GB2312" w:hAnsi="Times New Roman" w:eastAsia="仿宋_GB2312"/>
          <w:sz w:val="32"/>
          <w:szCs w:val="32"/>
        </w:rPr>
        <w:t>高血压肾损害、糖尿病肾病、系统性红斑狼疮性肾炎、过敏性紫癜性肾炎、ANCA血管炎相关性肾炎、尿酸性肾病、乙肝相关性肾炎</w:t>
      </w:r>
      <w:r>
        <w:rPr>
          <w:rFonts w:hint="eastAsia" w:ascii="仿宋_GB2312" w:hAnsi="Times New Roman" w:eastAsia="仿宋_GB2312"/>
          <w:bCs/>
          <w:sz w:val="32"/>
          <w:szCs w:val="32"/>
        </w:rPr>
        <w:t>）</w:t>
      </w:r>
      <w:r>
        <w:rPr>
          <w:rFonts w:hint="eastAsia" w:ascii="仿宋_GB2312" w:hAnsi="Times New Roman" w:eastAsia="仿宋_GB2312"/>
          <w:sz w:val="32"/>
          <w:szCs w:val="32"/>
        </w:rPr>
        <w:t>等,存在</w:t>
      </w:r>
      <w:r>
        <w:rPr>
          <w:rFonts w:hint="eastAsia" w:ascii="仿宋_GB2312" w:hAnsi="Times New Roman" w:eastAsia="仿宋_GB2312"/>
          <w:bCs/>
          <w:sz w:val="32"/>
          <w:szCs w:val="32"/>
        </w:rPr>
        <w:t>尿检异常（血尿、蛋白尿）</w:t>
      </w:r>
      <w:r>
        <w:rPr>
          <w:rFonts w:hint="eastAsia" w:ascii="仿宋_GB2312" w:hAnsi="Times New Roman" w:eastAsia="仿宋_GB2312"/>
          <w:sz w:val="32"/>
          <w:szCs w:val="32"/>
        </w:rPr>
        <w:t>,时间超过3个月（2）GFR/CCr≥45ml/min，时间超过3个月；</w:t>
      </w:r>
    </w:p>
    <w:p w14:paraId="2560DE57">
      <w:pPr>
        <w:overflowPunct w:val="0"/>
        <w:autoSpaceDE w:val="0"/>
        <w:autoSpaceDN w:val="0"/>
        <w:adjustRightInd w:val="0"/>
        <w:snapToGrid w:val="0"/>
        <w:spacing w:line="570" w:lineRule="exact"/>
        <w:ind w:firstLine="640"/>
        <w:rPr>
          <w:rFonts w:ascii="仿宋_GB2312" w:hAnsi="Times New Roman" w:eastAsia="仿宋_GB2312"/>
          <w:sz w:val="32"/>
          <w:szCs w:val="32"/>
        </w:rPr>
      </w:pPr>
      <w:r>
        <w:rPr>
          <w:rFonts w:hint="eastAsia" w:ascii="仿宋_GB2312" w:hAnsi="Times New Roman" w:eastAsia="仿宋_GB2312"/>
          <w:sz w:val="32"/>
          <w:szCs w:val="32"/>
        </w:rPr>
        <w:t>2.符合肾病综合征诊断：大量蛋白尿（24h尿蛋白定量</w:t>
      </w:r>
      <w:r>
        <w:rPr>
          <w:rFonts w:hint="eastAsia" w:ascii="宋体" w:hAnsi="宋体" w:cs="宋体"/>
          <w:sz w:val="32"/>
          <w:szCs w:val="32"/>
        </w:rPr>
        <w:t>≧</w:t>
      </w:r>
      <w:r>
        <w:rPr>
          <w:rFonts w:hint="eastAsia" w:ascii="仿宋_GB2312" w:hAnsi="Times New Roman" w:eastAsia="仿宋_GB2312"/>
          <w:sz w:val="32"/>
          <w:szCs w:val="32"/>
        </w:rPr>
        <w:t>3.5g/d）;低蛋白血症（血浆白蛋白&lt;30g/L）；或有水肿；或有高脂血症（血清总胆固醇或甘油三酯高于正常值）；</w:t>
      </w:r>
    </w:p>
    <w:p w14:paraId="50D9CD85">
      <w:pPr>
        <w:overflowPunct w:val="0"/>
        <w:autoSpaceDE w:val="0"/>
        <w:autoSpaceDN w:val="0"/>
        <w:adjustRightInd w:val="0"/>
        <w:snapToGrid w:val="0"/>
        <w:spacing w:line="570" w:lineRule="exact"/>
        <w:ind w:firstLine="640"/>
        <w:rPr>
          <w:rFonts w:ascii="仿宋_GB2312" w:hAnsi="Times New Roman" w:eastAsia="仿宋_GB2312"/>
          <w:sz w:val="32"/>
          <w:szCs w:val="32"/>
        </w:rPr>
      </w:pPr>
      <w:r>
        <w:rPr>
          <w:rFonts w:hint="eastAsia" w:ascii="仿宋_GB2312" w:hAnsi="Times New Roman" w:eastAsia="仿宋_GB2312"/>
          <w:sz w:val="32"/>
          <w:szCs w:val="32"/>
        </w:rPr>
        <w:t>3.或有肾脏病理学异常；</w:t>
      </w:r>
    </w:p>
    <w:p w14:paraId="442D4BA4">
      <w:pPr>
        <w:overflowPunct w:val="0"/>
        <w:autoSpaceDE w:val="0"/>
        <w:autoSpaceDN w:val="0"/>
        <w:adjustRightInd w:val="0"/>
        <w:snapToGrid w:val="0"/>
        <w:spacing w:line="570" w:lineRule="exact"/>
        <w:rPr>
          <w:rFonts w:ascii="仿宋_GB2312" w:hAnsi="Times New Roman" w:eastAsia="仿宋_GB2312"/>
          <w:kern w:val="0"/>
          <w:sz w:val="32"/>
          <w:szCs w:val="32"/>
        </w:rPr>
      </w:pPr>
      <w:r>
        <w:rPr>
          <w:rFonts w:hint="eastAsia" w:ascii="仿宋_GB2312" w:hAnsi="Times New Roman" w:eastAsia="仿宋_GB2312"/>
          <w:sz w:val="32"/>
          <w:szCs w:val="32"/>
        </w:rPr>
        <w:t xml:space="preserve">    4.或有影像学诊断异常资料。</w:t>
      </w:r>
    </w:p>
    <w:p w14:paraId="08460CB1">
      <w:pPr>
        <w:overflowPunct w:val="0"/>
        <w:autoSpaceDE w:val="0"/>
        <w:autoSpaceDN w:val="0"/>
        <w:adjustRightInd w:val="0"/>
        <w:snapToGrid w:val="0"/>
        <w:spacing w:line="570" w:lineRule="exact"/>
        <w:ind w:firstLine="630" w:firstLineChars="197"/>
        <w:rPr>
          <w:rFonts w:ascii="楷体_GB2312" w:hAnsi="Times New Roman" w:eastAsia="楷体_GB2312"/>
          <w:bCs/>
          <w:sz w:val="32"/>
          <w:szCs w:val="32"/>
        </w:rPr>
      </w:pPr>
      <w:r>
        <w:rPr>
          <w:rFonts w:hint="eastAsia" w:ascii="楷体_GB2312" w:hAnsi="Times New Roman" w:eastAsia="楷体_GB2312"/>
          <w:bCs/>
          <w:sz w:val="32"/>
          <w:szCs w:val="32"/>
        </w:rPr>
        <w:t>（三）门诊诊疗范围</w:t>
      </w:r>
    </w:p>
    <w:p w14:paraId="23B8AD82">
      <w:pPr>
        <w:overflowPunct w:val="0"/>
        <w:autoSpaceDE w:val="0"/>
        <w:autoSpaceDN w:val="0"/>
        <w:adjustRightInd w:val="0"/>
        <w:snapToGrid w:val="0"/>
        <w:spacing w:line="570" w:lineRule="exact"/>
        <w:rPr>
          <w:rFonts w:ascii="仿宋_GB2312" w:hAnsi="Times New Roman" w:eastAsia="仿宋_GB2312"/>
          <w:sz w:val="32"/>
          <w:szCs w:val="32"/>
        </w:rPr>
      </w:pPr>
      <w:r>
        <w:rPr>
          <w:rFonts w:hint="eastAsia" w:ascii="仿宋_GB2312" w:hAnsi="Times New Roman" w:eastAsia="仿宋_GB2312"/>
          <w:sz w:val="32"/>
          <w:szCs w:val="32"/>
        </w:rPr>
        <w:t xml:space="preserve">    1.各种原发及继发性肾脏病的基础治疗；</w:t>
      </w:r>
    </w:p>
    <w:p w14:paraId="142C59EB">
      <w:pPr>
        <w:overflowPunct w:val="0"/>
        <w:autoSpaceDE w:val="0"/>
        <w:autoSpaceDN w:val="0"/>
        <w:adjustRightInd w:val="0"/>
        <w:snapToGrid w:val="0"/>
        <w:spacing w:line="570" w:lineRule="exact"/>
        <w:rPr>
          <w:rFonts w:ascii="仿宋_GB2312" w:hAnsi="Times New Roman" w:eastAsia="仿宋_GB2312"/>
          <w:sz w:val="32"/>
          <w:szCs w:val="32"/>
        </w:rPr>
      </w:pPr>
      <w:r>
        <w:rPr>
          <w:rFonts w:hint="eastAsia" w:ascii="仿宋_GB2312" w:hAnsi="Times New Roman" w:eastAsia="仿宋_GB2312"/>
          <w:sz w:val="32"/>
          <w:szCs w:val="32"/>
        </w:rPr>
        <w:t xml:space="preserve">    2.肾脏病及其并发症的相关药物治疗（含抗凝剂、胃粘膜保护剂、钙剂等）；</w:t>
      </w:r>
    </w:p>
    <w:p w14:paraId="6BFA0735">
      <w:pPr>
        <w:overflowPunct w:val="0"/>
        <w:autoSpaceDE w:val="0"/>
        <w:autoSpaceDN w:val="0"/>
        <w:adjustRightInd w:val="0"/>
        <w:snapToGrid w:val="0"/>
        <w:spacing w:line="570" w:lineRule="exact"/>
        <w:rPr>
          <w:rFonts w:ascii="仿宋_GB2312" w:hAnsi="Times New Roman" w:eastAsia="仿宋_GB2312"/>
          <w:sz w:val="32"/>
          <w:szCs w:val="32"/>
        </w:rPr>
      </w:pPr>
      <w:r>
        <w:rPr>
          <w:rFonts w:hint="eastAsia" w:ascii="仿宋_GB2312" w:hAnsi="Times New Roman" w:eastAsia="仿宋_GB2312"/>
          <w:sz w:val="32"/>
          <w:szCs w:val="32"/>
        </w:rPr>
        <w:t xml:space="preserve">    3.符合疾病诊断（特别是病理诊断）的相关药物治疗（如免疫抑制剂等）；</w:t>
      </w:r>
    </w:p>
    <w:p w14:paraId="7D3312CD">
      <w:pPr>
        <w:overflowPunct w:val="0"/>
        <w:autoSpaceDE w:val="0"/>
        <w:autoSpaceDN w:val="0"/>
        <w:adjustRightInd w:val="0"/>
        <w:snapToGrid w:val="0"/>
        <w:spacing w:line="570" w:lineRule="exact"/>
        <w:rPr>
          <w:rFonts w:ascii="仿宋_GB2312" w:hAnsi="Times New Roman" w:eastAsia="仿宋_GB2312"/>
          <w:kern w:val="0"/>
          <w:sz w:val="32"/>
          <w:szCs w:val="32"/>
        </w:rPr>
      </w:pPr>
      <w:r>
        <w:rPr>
          <w:rFonts w:hint="eastAsia" w:ascii="仿宋_GB2312" w:hAnsi="Times New Roman" w:eastAsia="仿宋_GB2312"/>
          <w:sz w:val="32"/>
          <w:szCs w:val="32"/>
        </w:rPr>
        <w:t xml:space="preserve">    4.治疗期间的相关检查（包括</w:t>
      </w:r>
      <w:r>
        <w:rPr>
          <w:rFonts w:hint="eastAsia" w:ascii="仿宋_GB2312" w:hAnsi="Times New Roman" w:eastAsia="仿宋_GB2312"/>
          <w:kern w:val="0"/>
          <w:sz w:val="32"/>
          <w:szCs w:val="32"/>
          <w:lang w:eastAsia="zh-Hans" w:bidi="ar"/>
        </w:rPr>
        <w:t>眼底检查</w:t>
      </w:r>
      <w:r>
        <w:rPr>
          <w:rFonts w:hint="eastAsia" w:ascii="仿宋_GB2312" w:hAnsi="Times New Roman" w:eastAsia="仿宋_GB2312"/>
          <w:kern w:val="0"/>
          <w:sz w:val="32"/>
          <w:szCs w:val="32"/>
          <w:lang w:bidi="ar"/>
        </w:rPr>
        <w:t>等</w:t>
      </w:r>
      <w:r>
        <w:rPr>
          <w:rFonts w:hint="eastAsia" w:ascii="仿宋_GB2312" w:hAnsi="Times New Roman" w:eastAsia="仿宋_GB2312"/>
          <w:sz w:val="32"/>
          <w:szCs w:val="32"/>
        </w:rPr>
        <w:t>）。</w:t>
      </w:r>
    </w:p>
    <w:p w14:paraId="62E95374">
      <w:pPr>
        <w:overflowPunct w:val="0"/>
        <w:autoSpaceDE w:val="0"/>
        <w:autoSpaceDN w:val="0"/>
        <w:adjustRightInd w:val="0"/>
        <w:snapToGrid w:val="0"/>
        <w:spacing w:line="570" w:lineRule="exact"/>
        <w:ind w:firstLine="630" w:firstLineChars="197"/>
        <w:rPr>
          <w:rFonts w:ascii="楷体_GB2312" w:hAnsi="Times New Roman" w:eastAsia="楷体_GB2312"/>
          <w:bCs/>
          <w:sz w:val="32"/>
          <w:szCs w:val="32"/>
        </w:rPr>
      </w:pPr>
      <w:r>
        <w:rPr>
          <w:rFonts w:hint="eastAsia" w:ascii="楷体_GB2312" w:hAnsi="Times New Roman" w:eastAsia="楷体_GB2312"/>
          <w:bCs/>
          <w:sz w:val="32"/>
          <w:szCs w:val="32"/>
        </w:rPr>
        <w:t>（四）复审期限</w:t>
      </w:r>
    </w:p>
    <w:p w14:paraId="65C15EF4">
      <w:pPr>
        <w:overflowPunct w:val="0"/>
        <w:autoSpaceDE w:val="0"/>
        <w:autoSpaceDN w:val="0"/>
        <w:adjustRightInd w:val="0"/>
        <w:snapToGrid w:val="0"/>
        <w:spacing w:line="570" w:lineRule="exact"/>
        <w:ind w:firstLine="630" w:firstLineChars="197"/>
        <w:rPr>
          <w:rFonts w:ascii="仿宋_GB2312" w:hAnsi="Times New Roman" w:eastAsia="仿宋_GB2312"/>
          <w:sz w:val="32"/>
          <w:szCs w:val="32"/>
        </w:rPr>
      </w:pPr>
      <w:r>
        <w:rPr>
          <w:rFonts w:hint="eastAsia" w:ascii="仿宋_GB2312" w:hAnsi="Times New Roman" w:eastAsia="仿宋_GB2312"/>
          <w:bCs/>
          <w:sz w:val="32"/>
          <w:szCs w:val="32"/>
        </w:rPr>
        <w:t>每3年复审一次。</w:t>
      </w:r>
    </w:p>
    <w:p w14:paraId="6EDB5B65">
      <w:pPr>
        <w:overflowPunct w:val="0"/>
        <w:autoSpaceDE w:val="0"/>
        <w:autoSpaceDN w:val="0"/>
        <w:adjustRightInd w:val="0"/>
        <w:snapToGrid w:val="0"/>
        <w:spacing w:line="570" w:lineRule="exact"/>
        <w:ind w:firstLine="640" w:firstLineChars="200"/>
        <w:rPr>
          <w:rFonts w:ascii="黑体" w:hAnsi="黑体" w:eastAsia="黑体"/>
          <w:kern w:val="0"/>
          <w:sz w:val="32"/>
          <w:szCs w:val="32"/>
          <w:lang w:bidi="ar"/>
        </w:rPr>
      </w:pPr>
      <w:r>
        <w:rPr>
          <w:rFonts w:hint="eastAsia" w:ascii="黑体" w:hAnsi="黑体" w:eastAsia="黑体"/>
          <w:kern w:val="0"/>
          <w:sz w:val="32"/>
          <w:szCs w:val="32"/>
          <w:lang w:bidi="ar"/>
        </w:rPr>
        <w:t>三十五、股骨骨坏死</w:t>
      </w:r>
    </w:p>
    <w:p w14:paraId="0983482F">
      <w:pPr>
        <w:overflowPunct w:val="0"/>
        <w:autoSpaceDE w:val="0"/>
        <w:autoSpaceDN w:val="0"/>
        <w:adjustRightInd w:val="0"/>
        <w:snapToGrid w:val="0"/>
        <w:spacing w:line="570" w:lineRule="exact"/>
        <w:ind w:firstLine="630" w:firstLineChars="197"/>
        <w:rPr>
          <w:rFonts w:ascii="楷体_GB2312" w:hAnsi="Times New Roman" w:eastAsia="楷体_GB2312"/>
          <w:bCs/>
          <w:sz w:val="32"/>
          <w:szCs w:val="32"/>
        </w:rPr>
      </w:pPr>
      <w:r>
        <w:rPr>
          <w:rFonts w:hint="eastAsia" w:ascii="楷体_GB2312" w:hAnsi="Times New Roman" w:eastAsia="楷体_GB2312"/>
          <w:bCs/>
          <w:sz w:val="32"/>
          <w:szCs w:val="32"/>
        </w:rPr>
        <w:t>（一）申报资料</w:t>
      </w:r>
    </w:p>
    <w:p w14:paraId="2B4C711E">
      <w:pPr>
        <w:overflowPunct w:val="0"/>
        <w:autoSpaceDE w:val="0"/>
        <w:autoSpaceDN w:val="0"/>
        <w:adjustRightInd w:val="0"/>
        <w:snapToGrid w:val="0"/>
        <w:spacing w:line="570" w:lineRule="exact"/>
        <w:rPr>
          <w:rFonts w:ascii="仿宋_GB2312" w:hAnsi="Times New Roman" w:eastAsia="仿宋_GB2312"/>
          <w:kern w:val="0"/>
          <w:sz w:val="32"/>
          <w:szCs w:val="32"/>
          <w:lang w:bidi="ar"/>
        </w:rPr>
      </w:pPr>
      <w:r>
        <w:rPr>
          <w:rFonts w:hint="eastAsia" w:ascii="仿宋_GB2312" w:hAnsi="Times New Roman" w:eastAsia="仿宋_GB2312"/>
          <w:kern w:val="0"/>
          <w:sz w:val="32"/>
          <w:szCs w:val="32"/>
          <w:lang w:bidi="ar"/>
        </w:rPr>
        <w:t xml:space="preserve">    1.患者本人</w:t>
      </w:r>
      <w:r>
        <w:rPr>
          <w:rFonts w:hint="eastAsia" w:ascii="仿宋_GB2312" w:hAnsi="Times New Roman" w:eastAsia="仿宋_GB2312"/>
          <w:sz w:val="32"/>
          <w:szCs w:val="32"/>
        </w:rPr>
        <w:t>医保定点医疗机构</w:t>
      </w:r>
      <w:r>
        <w:rPr>
          <w:rFonts w:hint="eastAsia" w:ascii="仿宋_GB2312" w:hAnsi="Times New Roman" w:eastAsia="仿宋_GB2312"/>
          <w:kern w:val="0"/>
          <w:sz w:val="32"/>
          <w:szCs w:val="32"/>
          <w:lang w:bidi="ar"/>
        </w:rPr>
        <w:t>病历(包括门诊病历或近期住院病历复印件)及二级以上医保定点医疗机构专科副主任医师以上医生的诊断证明；</w:t>
      </w:r>
    </w:p>
    <w:p w14:paraId="2BFBEEE9">
      <w:pPr>
        <w:overflowPunct w:val="0"/>
        <w:autoSpaceDE w:val="0"/>
        <w:autoSpaceDN w:val="0"/>
        <w:adjustRightInd w:val="0"/>
        <w:snapToGrid w:val="0"/>
        <w:spacing w:line="570" w:lineRule="exact"/>
        <w:rPr>
          <w:rFonts w:ascii="仿宋_GB2312" w:hAnsi="Times New Roman" w:eastAsia="仿宋_GB2312"/>
          <w:kern w:val="0"/>
          <w:sz w:val="32"/>
          <w:szCs w:val="32"/>
          <w:lang w:bidi="ar"/>
        </w:rPr>
      </w:pPr>
      <w:r>
        <w:rPr>
          <w:rFonts w:hint="eastAsia" w:ascii="仿宋_GB2312" w:hAnsi="Times New Roman" w:eastAsia="仿宋_GB2312"/>
          <w:kern w:val="0"/>
          <w:sz w:val="32"/>
          <w:szCs w:val="32"/>
          <w:lang w:bidi="ar"/>
        </w:rPr>
        <w:t xml:space="preserve">    2.有关临床资料，包括病史、症状、体征等；</w:t>
      </w:r>
    </w:p>
    <w:p w14:paraId="1CD3029B">
      <w:pPr>
        <w:overflowPunct w:val="0"/>
        <w:autoSpaceDE w:val="0"/>
        <w:autoSpaceDN w:val="0"/>
        <w:adjustRightInd w:val="0"/>
        <w:snapToGrid w:val="0"/>
        <w:spacing w:line="570" w:lineRule="exact"/>
        <w:rPr>
          <w:rFonts w:ascii="仿宋_GB2312" w:hAnsi="Times New Roman" w:eastAsia="仿宋_GB2312"/>
          <w:kern w:val="0"/>
          <w:sz w:val="32"/>
          <w:szCs w:val="32"/>
          <w:lang w:bidi="ar"/>
        </w:rPr>
      </w:pPr>
      <w:r>
        <w:rPr>
          <w:rFonts w:hint="eastAsia" w:ascii="仿宋_GB2312" w:hAnsi="Times New Roman" w:eastAsia="仿宋_GB2312"/>
          <w:kern w:val="0"/>
          <w:sz w:val="32"/>
          <w:szCs w:val="32"/>
          <w:lang w:bidi="ar"/>
        </w:rPr>
        <w:t xml:space="preserve">    3.影像学资料（包括CT或MRI及X线阳性检查结果）；</w:t>
      </w:r>
    </w:p>
    <w:p w14:paraId="7A2E7414">
      <w:pPr>
        <w:overflowPunct w:val="0"/>
        <w:autoSpaceDE w:val="0"/>
        <w:autoSpaceDN w:val="0"/>
        <w:adjustRightInd w:val="0"/>
        <w:snapToGrid w:val="0"/>
        <w:spacing w:line="570" w:lineRule="exact"/>
        <w:ind w:firstLine="620"/>
        <w:rPr>
          <w:rFonts w:ascii="仿宋_GB2312" w:hAnsi="Times New Roman" w:eastAsia="仿宋_GB2312"/>
          <w:kern w:val="0"/>
          <w:sz w:val="32"/>
          <w:szCs w:val="32"/>
          <w:lang w:bidi="ar"/>
        </w:rPr>
      </w:pPr>
      <w:r>
        <w:rPr>
          <w:rFonts w:hint="eastAsia" w:ascii="仿宋_GB2312" w:hAnsi="Times New Roman" w:eastAsia="仿宋_GB2312"/>
          <w:kern w:val="0"/>
          <w:sz w:val="32"/>
          <w:szCs w:val="32"/>
          <w:lang w:bidi="ar"/>
        </w:rPr>
        <w:t>4.</w:t>
      </w:r>
      <w:r>
        <w:rPr>
          <w:rFonts w:hint="eastAsia" w:ascii="仿宋_GB2312" w:hAnsi="Times New Roman" w:eastAsia="仿宋_GB2312"/>
          <w:sz w:val="32"/>
          <w:szCs w:val="32"/>
        </w:rPr>
        <w:t>医保定点医疗机构</w:t>
      </w:r>
      <w:r>
        <w:rPr>
          <w:rFonts w:hint="eastAsia" w:ascii="仿宋_GB2312" w:hAnsi="Times New Roman" w:eastAsia="仿宋_GB2312"/>
          <w:kern w:val="0"/>
          <w:sz w:val="32"/>
          <w:szCs w:val="32"/>
          <w:lang w:bidi="ar"/>
        </w:rPr>
        <w:t>专科主治医师以上医生为患者制定的治疗计划。</w:t>
      </w:r>
    </w:p>
    <w:p w14:paraId="31317A71">
      <w:pPr>
        <w:overflowPunct w:val="0"/>
        <w:autoSpaceDE w:val="0"/>
        <w:autoSpaceDN w:val="0"/>
        <w:adjustRightInd w:val="0"/>
        <w:snapToGrid w:val="0"/>
        <w:spacing w:line="570" w:lineRule="exact"/>
        <w:rPr>
          <w:rFonts w:ascii="仿宋_GB2312" w:hAnsi="Times New Roman" w:eastAsia="仿宋_GB2312"/>
          <w:b/>
          <w:bCs/>
          <w:kern w:val="0"/>
          <w:sz w:val="32"/>
          <w:szCs w:val="32"/>
          <w:lang w:bidi="ar"/>
        </w:rPr>
      </w:pPr>
      <w:r>
        <w:rPr>
          <w:rFonts w:hint="eastAsia" w:ascii="仿宋_GB2312" w:hAnsi="Times New Roman" w:eastAsia="仿宋_GB2312"/>
          <w:b/>
          <w:bCs/>
          <w:kern w:val="0"/>
          <w:sz w:val="32"/>
          <w:szCs w:val="32"/>
          <w:lang w:bidi="ar"/>
        </w:rPr>
        <w:t xml:space="preserve">   </w:t>
      </w:r>
      <w:r>
        <w:rPr>
          <w:rFonts w:hint="eastAsia" w:ascii="仿宋_GB2312" w:hAnsi="Times New Roman" w:eastAsia="仿宋_GB2312"/>
          <w:kern w:val="0"/>
          <w:sz w:val="32"/>
          <w:szCs w:val="32"/>
          <w:lang w:bidi="ar"/>
        </w:rPr>
        <w:t xml:space="preserve"> </w:t>
      </w:r>
      <w:r>
        <w:rPr>
          <w:rFonts w:hint="eastAsia" w:ascii="楷体_GB2312" w:hAnsi="Times New Roman" w:eastAsia="楷体_GB2312"/>
          <w:bCs/>
          <w:sz w:val="32"/>
          <w:szCs w:val="32"/>
        </w:rPr>
        <w:t>（二）治疗指征（认定标准）</w:t>
      </w:r>
    </w:p>
    <w:p w14:paraId="793D2DFE">
      <w:pPr>
        <w:overflowPunct w:val="0"/>
        <w:autoSpaceDE w:val="0"/>
        <w:autoSpaceDN w:val="0"/>
        <w:adjustRightInd w:val="0"/>
        <w:snapToGrid w:val="0"/>
        <w:spacing w:line="570" w:lineRule="exact"/>
        <w:rPr>
          <w:rFonts w:ascii="仿宋_GB2312" w:hAnsi="Times New Roman" w:eastAsia="仿宋_GB2312"/>
          <w:kern w:val="0"/>
          <w:sz w:val="32"/>
          <w:szCs w:val="32"/>
          <w:lang w:bidi="ar"/>
        </w:rPr>
      </w:pPr>
      <w:r>
        <w:rPr>
          <w:rFonts w:hint="eastAsia" w:ascii="仿宋_GB2312" w:hAnsi="Times New Roman" w:eastAsia="仿宋_GB2312"/>
          <w:kern w:val="0"/>
          <w:sz w:val="32"/>
          <w:szCs w:val="32"/>
          <w:lang w:bidi="ar"/>
        </w:rPr>
        <w:t xml:space="preserve">    临床特征：多以髋部、臀部或腹股沟区疼痛为主，偶尔伴有膝关节疼痛、髋关节内旋活动受限。常有髋部外伤史、皮质类固醇类药物应用史、酗酒史及潜水员等职业史。</w:t>
      </w:r>
    </w:p>
    <w:p w14:paraId="0961B901">
      <w:pPr>
        <w:overflowPunct w:val="0"/>
        <w:autoSpaceDE w:val="0"/>
        <w:autoSpaceDN w:val="0"/>
        <w:adjustRightInd w:val="0"/>
        <w:snapToGrid w:val="0"/>
        <w:spacing w:line="570" w:lineRule="exact"/>
        <w:rPr>
          <w:rFonts w:ascii="仿宋_GB2312" w:hAnsi="Times New Roman" w:eastAsia="仿宋_GB2312"/>
          <w:kern w:val="0"/>
          <w:sz w:val="32"/>
          <w:szCs w:val="32"/>
          <w:lang w:bidi="ar"/>
        </w:rPr>
      </w:pPr>
      <w:r>
        <w:rPr>
          <w:rFonts w:hint="eastAsia" w:ascii="仿宋_GB2312" w:hAnsi="Times New Roman" w:eastAsia="仿宋_GB2312"/>
          <w:b/>
          <w:bCs/>
          <w:kern w:val="0"/>
          <w:sz w:val="32"/>
          <w:szCs w:val="32"/>
          <w:lang w:bidi="ar"/>
        </w:rPr>
        <w:t xml:space="preserve">    </w:t>
      </w:r>
      <w:r>
        <w:rPr>
          <w:rFonts w:hint="eastAsia" w:ascii="仿宋_GB2312" w:hAnsi="Times New Roman" w:eastAsia="仿宋_GB2312"/>
          <w:kern w:val="0"/>
          <w:sz w:val="32"/>
          <w:szCs w:val="32"/>
          <w:lang w:bidi="ar"/>
        </w:rPr>
        <w:t>1.X线片表现：早期可无异常，或明显的硬化带、囊性变。晚期可见股骨头塌陷，关节间隙变窄，沈通氏线不连续，出现骨性关节炎改变；</w:t>
      </w:r>
    </w:p>
    <w:p w14:paraId="572A5D40">
      <w:pPr>
        <w:overflowPunct w:val="0"/>
        <w:autoSpaceDE w:val="0"/>
        <w:autoSpaceDN w:val="0"/>
        <w:adjustRightInd w:val="0"/>
        <w:snapToGrid w:val="0"/>
        <w:spacing w:line="570" w:lineRule="exact"/>
        <w:rPr>
          <w:rFonts w:ascii="仿宋_GB2312" w:hAnsi="Times New Roman" w:eastAsia="仿宋_GB2312"/>
          <w:kern w:val="0"/>
          <w:sz w:val="32"/>
          <w:szCs w:val="32"/>
          <w:lang w:bidi="ar"/>
        </w:rPr>
      </w:pPr>
      <w:r>
        <w:rPr>
          <w:rFonts w:hint="eastAsia" w:ascii="仿宋_GB2312" w:hAnsi="Times New Roman" w:eastAsia="仿宋_GB2312"/>
          <w:b/>
          <w:bCs/>
          <w:kern w:val="0"/>
          <w:sz w:val="32"/>
          <w:szCs w:val="32"/>
          <w:lang w:bidi="ar"/>
        </w:rPr>
        <w:t xml:space="preserve">   </w:t>
      </w:r>
      <w:r>
        <w:rPr>
          <w:rFonts w:hint="eastAsia" w:ascii="仿宋_GB2312" w:hAnsi="Times New Roman" w:eastAsia="仿宋_GB2312"/>
          <w:kern w:val="0"/>
          <w:sz w:val="32"/>
          <w:szCs w:val="32"/>
          <w:lang w:bidi="ar"/>
        </w:rPr>
        <w:t xml:space="preserve"> 2.MRI影像：MRI检查对股骨头坏死具有较高的敏感性。表现为T1WI局限性软骨下线样低信号或T2WI“双线征”；</w:t>
      </w:r>
    </w:p>
    <w:p w14:paraId="59E41DB5">
      <w:pPr>
        <w:overflowPunct w:val="0"/>
        <w:autoSpaceDE w:val="0"/>
        <w:autoSpaceDN w:val="0"/>
        <w:adjustRightInd w:val="0"/>
        <w:snapToGrid w:val="0"/>
        <w:spacing w:line="570" w:lineRule="exact"/>
        <w:rPr>
          <w:rFonts w:ascii="仿宋_GB2312" w:hAnsi="Times New Roman" w:eastAsia="仿宋_GB2312"/>
          <w:kern w:val="0"/>
          <w:sz w:val="32"/>
          <w:szCs w:val="32"/>
          <w:lang w:bidi="ar"/>
        </w:rPr>
      </w:pPr>
      <w:r>
        <w:rPr>
          <w:rFonts w:hint="eastAsia" w:ascii="仿宋_GB2312" w:hAnsi="Times New Roman" w:eastAsia="仿宋_GB2312"/>
          <w:kern w:val="0"/>
          <w:sz w:val="32"/>
          <w:szCs w:val="32"/>
          <w:lang w:bidi="ar"/>
        </w:rPr>
        <w:t xml:space="preserve">    3.CT 表现：通常可见股骨头星芒征缺失，负重区骨小梁缺失断裂，骨硬化带包绕囊变区或软骨下骨断裂，坏死骨与修复骨交错存在等征象；</w:t>
      </w:r>
    </w:p>
    <w:p w14:paraId="266A0CC8">
      <w:pPr>
        <w:overflowPunct w:val="0"/>
        <w:autoSpaceDE w:val="0"/>
        <w:autoSpaceDN w:val="0"/>
        <w:adjustRightInd w:val="0"/>
        <w:snapToGrid w:val="0"/>
        <w:spacing w:line="570" w:lineRule="exact"/>
        <w:rPr>
          <w:rFonts w:ascii="仿宋_GB2312" w:hAnsi="Times New Roman" w:eastAsia="仿宋_GB2312"/>
          <w:kern w:val="0"/>
          <w:sz w:val="32"/>
          <w:szCs w:val="32"/>
          <w:lang w:bidi="ar"/>
        </w:rPr>
      </w:pPr>
      <w:r>
        <w:rPr>
          <w:rFonts w:hint="eastAsia" w:ascii="仿宋_GB2312" w:hAnsi="Times New Roman" w:eastAsia="仿宋_GB2312"/>
          <w:kern w:val="0"/>
          <w:sz w:val="32"/>
          <w:szCs w:val="32"/>
          <w:lang w:bidi="ar"/>
        </w:rPr>
        <w:t xml:space="preserve">    4.放射性核素检查：急性坏死期可见灌注缺损（冷区），坏死修复期可见热区中包含冷区，即“甜甜圈”改变；</w:t>
      </w:r>
    </w:p>
    <w:p w14:paraId="3B7A09FB">
      <w:pPr>
        <w:overflowPunct w:val="0"/>
        <w:autoSpaceDE w:val="0"/>
        <w:autoSpaceDN w:val="0"/>
        <w:adjustRightInd w:val="0"/>
        <w:snapToGrid w:val="0"/>
        <w:spacing w:line="570" w:lineRule="exact"/>
        <w:rPr>
          <w:rFonts w:ascii="仿宋_GB2312" w:hAnsi="Times New Roman" w:eastAsia="仿宋_GB2312"/>
          <w:kern w:val="0"/>
          <w:sz w:val="32"/>
          <w:szCs w:val="32"/>
          <w:lang w:bidi="ar"/>
        </w:rPr>
      </w:pPr>
      <w:r>
        <w:rPr>
          <w:rFonts w:hint="eastAsia" w:ascii="仿宋_GB2312" w:hAnsi="Times New Roman" w:eastAsia="仿宋_GB2312"/>
          <w:kern w:val="0"/>
          <w:sz w:val="32"/>
          <w:szCs w:val="32"/>
          <w:lang w:bidi="ar"/>
        </w:rPr>
        <w:t xml:space="preserve">    5.骨活检及病理表现：部分细胞有坏死迹象，骨小梁中空腔比例超过 50%，相邻的小梁骨受累，部分骨髓坏死；</w:t>
      </w:r>
    </w:p>
    <w:p w14:paraId="68BF2E6E">
      <w:pPr>
        <w:overflowPunct w:val="0"/>
        <w:autoSpaceDE w:val="0"/>
        <w:autoSpaceDN w:val="0"/>
        <w:adjustRightInd w:val="0"/>
        <w:snapToGrid w:val="0"/>
        <w:spacing w:line="570" w:lineRule="exact"/>
        <w:rPr>
          <w:rFonts w:ascii="仿宋_GB2312" w:hAnsi="Times New Roman" w:eastAsia="仿宋_GB2312"/>
          <w:kern w:val="0"/>
          <w:sz w:val="32"/>
          <w:szCs w:val="32"/>
          <w:lang w:bidi="ar"/>
        </w:rPr>
      </w:pPr>
      <w:r>
        <w:rPr>
          <w:rFonts w:hint="eastAsia" w:ascii="仿宋_GB2312" w:hAnsi="Times New Roman" w:eastAsia="仿宋_GB2312"/>
          <w:kern w:val="0"/>
          <w:sz w:val="32"/>
          <w:szCs w:val="32"/>
          <w:lang w:bidi="ar"/>
        </w:rPr>
        <w:t xml:space="preserve">    6.DSA：早期可见静脉淤滞和血液回流受阻，中期可见动脉缺血，晚期可见动脉闭塞。</w:t>
      </w:r>
    </w:p>
    <w:p w14:paraId="7DABE0A8">
      <w:pPr>
        <w:overflowPunct w:val="0"/>
        <w:autoSpaceDE w:val="0"/>
        <w:autoSpaceDN w:val="0"/>
        <w:adjustRightInd w:val="0"/>
        <w:snapToGrid w:val="0"/>
        <w:spacing w:line="570" w:lineRule="exact"/>
        <w:rPr>
          <w:rFonts w:ascii="仿宋_GB2312" w:hAnsi="Times New Roman" w:eastAsia="仿宋_GB2312"/>
          <w:b/>
          <w:bCs/>
          <w:kern w:val="0"/>
          <w:sz w:val="32"/>
          <w:szCs w:val="32"/>
          <w:lang w:bidi="ar"/>
        </w:rPr>
      </w:pPr>
      <w:r>
        <w:rPr>
          <w:rFonts w:hint="eastAsia" w:ascii="仿宋_GB2312" w:hAnsi="Times New Roman" w:eastAsia="仿宋_GB2312"/>
          <w:kern w:val="0"/>
          <w:sz w:val="32"/>
          <w:szCs w:val="32"/>
          <w:lang w:bidi="ar"/>
        </w:rPr>
        <w:t xml:space="preserve">    注：满足以上（1）、（2）或（3）即可确诊为股骨头坏死，（4）至（6）为辅助诊疗与治疗的检查方法。</w:t>
      </w:r>
      <w:r>
        <w:rPr>
          <w:rFonts w:hint="eastAsia" w:ascii="仿宋_GB2312" w:hAnsi="Times New Roman" w:eastAsia="仿宋_GB2312"/>
          <w:b/>
          <w:bCs/>
          <w:kern w:val="0"/>
          <w:sz w:val="32"/>
          <w:szCs w:val="32"/>
          <w:lang w:bidi="ar"/>
        </w:rPr>
        <w:t xml:space="preserve"> </w:t>
      </w:r>
    </w:p>
    <w:p w14:paraId="1D292B7C">
      <w:pPr>
        <w:overflowPunct w:val="0"/>
        <w:autoSpaceDE w:val="0"/>
        <w:autoSpaceDN w:val="0"/>
        <w:adjustRightInd w:val="0"/>
        <w:snapToGrid w:val="0"/>
        <w:spacing w:line="570" w:lineRule="exact"/>
        <w:rPr>
          <w:rFonts w:ascii="楷体_GB2312" w:hAnsi="Times New Roman" w:eastAsia="楷体_GB2312"/>
          <w:kern w:val="0"/>
          <w:sz w:val="32"/>
          <w:szCs w:val="32"/>
          <w:lang w:bidi="ar"/>
        </w:rPr>
      </w:pPr>
      <w:r>
        <w:rPr>
          <w:rFonts w:hint="eastAsia" w:ascii="仿宋_GB2312" w:hAnsi="Times New Roman" w:eastAsia="仿宋_GB2312"/>
          <w:kern w:val="0"/>
          <w:sz w:val="32"/>
          <w:szCs w:val="32"/>
          <w:lang w:bidi="ar"/>
        </w:rPr>
        <w:t xml:space="preserve">    </w:t>
      </w:r>
      <w:r>
        <w:rPr>
          <w:rFonts w:hint="eastAsia" w:ascii="楷体_GB2312" w:hAnsi="Times New Roman" w:eastAsia="楷体_GB2312"/>
          <w:kern w:val="0"/>
          <w:sz w:val="32"/>
          <w:szCs w:val="32"/>
          <w:lang w:bidi="ar"/>
        </w:rPr>
        <w:t xml:space="preserve">（三）门诊诊疗范围 </w:t>
      </w:r>
    </w:p>
    <w:p w14:paraId="7B557EF1">
      <w:pPr>
        <w:overflowPunct w:val="0"/>
        <w:autoSpaceDE w:val="0"/>
        <w:autoSpaceDN w:val="0"/>
        <w:adjustRightInd w:val="0"/>
        <w:snapToGrid w:val="0"/>
        <w:spacing w:line="570" w:lineRule="exact"/>
        <w:rPr>
          <w:rFonts w:ascii="仿宋_GB2312" w:hAnsi="Times New Roman" w:eastAsia="仿宋_GB2312"/>
          <w:kern w:val="0"/>
          <w:sz w:val="32"/>
          <w:szCs w:val="32"/>
          <w:lang w:bidi="ar"/>
        </w:rPr>
      </w:pPr>
      <w:r>
        <w:rPr>
          <w:rFonts w:hint="eastAsia" w:ascii="仿宋_GB2312" w:hAnsi="Times New Roman" w:eastAsia="仿宋_GB2312"/>
          <w:kern w:val="0"/>
          <w:sz w:val="32"/>
          <w:szCs w:val="32"/>
          <w:lang w:bidi="ar"/>
        </w:rPr>
        <w:t xml:space="preserve">    1.抑制破骨细胞功能和促进成骨细胞功能的药物，如双磷酸盐类药物；</w:t>
      </w:r>
    </w:p>
    <w:p w14:paraId="3745076F">
      <w:pPr>
        <w:overflowPunct w:val="0"/>
        <w:autoSpaceDE w:val="0"/>
        <w:autoSpaceDN w:val="0"/>
        <w:adjustRightInd w:val="0"/>
        <w:snapToGrid w:val="0"/>
        <w:spacing w:line="570" w:lineRule="exact"/>
        <w:rPr>
          <w:rFonts w:ascii="仿宋_GB2312" w:hAnsi="Times New Roman" w:eastAsia="仿宋_GB2312"/>
          <w:kern w:val="0"/>
          <w:sz w:val="32"/>
          <w:szCs w:val="32"/>
          <w:lang w:bidi="ar"/>
        </w:rPr>
      </w:pPr>
      <w:r>
        <w:rPr>
          <w:rFonts w:hint="eastAsia" w:ascii="仿宋_GB2312" w:hAnsi="Times New Roman" w:eastAsia="仿宋_GB2312"/>
          <w:kern w:val="0"/>
          <w:sz w:val="32"/>
          <w:szCs w:val="32"/>
          <w:lang w:bidi="ar"/>
        </w:rPr>
        <w:t xml:space="preserve">    2.抗凝、降脂、扩张血管、促进纤溶等药物；</w:t>
      </w:r>
    </w:p>
    <w:p w14:paraId="0307DF1F">
      <w:pPr>
        <w:overflowPunct w:val="0"/>
        <w:autoSpaceDE w:val="0"/>
        <w:autoSpaceDN w:val="0"/>
        <w:adjustRightInd w:val="0"/>
        <w:snapToGrid w:val="0"/>
        <w:spacing w:line="570" w:lineRule="exact"/>
        <w:rPr>
          <w:rFonts w:ascii="仿宋_GB2312" w:hAnsi="Times New Roman" w:eastAsia="仿宋_GB2312"/>
          <w:kern w:val="0"/>
          <w:sz w:val="32"/>
          <w:szCs w:val="32"/>
          <w:lang w:bidi="ar"/>
        </w:rPr>
      </w:pPr>
      <w:r>
        <w:rPr>
          <w:rFonts w:hint="eastAsia" w:ascii="仿宋_GB2312" w:hAnsi="Times New Roman" w:eastAsia="仿宋_GB2312"/>
          <w:kern w:val="0"/>
          <w:sz w:val="32"/>
          <w:szCs w:val="32"/>
          <w:lang w:bidi="ar"/>
        </w:rPr>
        <w:t xml:space="preserve">    3.中药饮片、中成药及治疗性医疗机构制剂；</w:t>
      </w:r>
    </w:p>
    <w:p w14:paraId="7E94F299">
      <w:pPr>
        <w:overflowPunct w:val="0"/>
        <w:autoSpaceDE w:val="0"/>
        <w:autoSpaceDN w:val="0"/>
        <w:adjustRightInd w:val="0"/>
        <w:snapToGrid w:val="0"/>
        <w:spacing w:line="570" w:lineRule="exact"/>
        <w:rPr>
          <w:rFonts w:ascii="仿宋_GB2312" w:hAnsi="Times New Roman" w:eastAsia="仿宋_GB2312"/>
          <w:kern w:val="0"/>
          <w:sz w:val="32"/>
          <w:szCs w:val="32"/>
          <w:lang w:bidi="ar"/>
        </w:rPr>
      </w:pPr>
      <w:r>
        <w:rPr>
          <w:rFonts w:hint="eastAsia" w:ascii="仿宋_GB2312" w:hAnsi="Times New Roman" w:eastAsia="仿宋_GB2312"/>
          <w:kern w:val="0"/>
          <w:sz w:val="32"/>
          <w:szCs w:val="32"/>
          <w:lang w:bidi="ar"/>
        </w:rPr>
        <w:t xml:space="preserve">    4.治疗期前、治疗期间及治疗期后的相关检查。</w:t>
      </w:r>
    </w:p>
    <w:p w14:paraId="7AFF86A8">
      <w:pPr>
        <w:overflowPunct w:val="0"/>
        <w:autoSpaceDE w:val="0"/>
        <w:autoSpaceDN w:val="0"/>
        <w:adjustRightInd w:val="0"/>
        <w:snapToGrid w:val="0"/>
        <w:spacing w:line="570" w:lineRule="exact"/>
        <w:ind w:firstLine="640" w:firstLineChars="200"/>
        <w:rPr>
          <w:rFonts w:ascii="楷体_GB2312" w:hAnsi="Times New Roman" w:eastAsia="楷体_GB2312"/>
          <w:kern w:val="0"/>
          <w:sz w:val="32"/>
          <w:szCs w:val="32"/>
          <w:lang w:bidi="ar"/>
        </w:rPr>
      </w:pPr>
      <w:r>
        <w:rPr>
          <w:rFonts w:hint="eastAsia" w:ascii="楷体_GB2312" w:hAnsi="Times New Roman" w:eastAsia="楷体_GB2312"/>
          <w:kern w:val="0"/>
          <w:sz w:val="32"/>
          <w:szCs w:val="32"/>
          <w:lang w:bidi="ar"/>
        </w:rPr>
        <w:t>（四）复审期限</w:t>
      </w:r>
    </w:p>
    <w:p w14:paraId="6FB22086">
      <w:pPr>
        <w:overflowPunct w:val="0"/>
        <w:autoSpaceDE w:val="0"/>
        <w:autoSpaceDN w:val="0"/>
        <w:adjustRightInd w:val="0"/>
        <w:snapToGrid w:val="0"/>
        <w:spacing w:line="570" w:lineRule="exact"/>
        <w:ind w:firstLine="622"/>
        <w:rPr>
          <w:rFonts w:ascii="仿宋_GB2312" w:hAnsi="Times New Roman" w:eastAsia="仿宋_GB2312"/>
          <w:kern w:val="0"/>
          <w:sz w:val="32"/>
          <w:szCs w:val="32"/>
          <w:lang w:bidi="ar"/>
        </w:rPr>
      </w:pPr>
      <w:r>
        <w:rPr>
          <w:rFonts w:hint="eastAsia" w:ascii="仿宋_GB2312" w:hAnsi="Times New Roman" w:eastAsia="仿宋_GB2312"/>
          <w:bCs/>
          <w:sz w:val="32"/>
          <w:szCs w:val="32"/>
        </w:rPr>
        <w:t>每2年复审一次。</w:t>
      </w:r>
    </w:p>
    <w:p w14:paraId="5A1ED7A9">
      <w:pPr>
        <w:overflowPunct w:val="0"/>
        <w:autoSpaceDE w:val="0"/>
        <w:autoSpaceDN w:val="0"/>
        <w:adjustRightInd w:val="0"/>
        <w:snapToGrid w:val="0"/>
        <w:spacing w:line="570" w:lineRule="exact"/>
        <w:ind w:firstLine="640" w:firstLineChars="200"/>
        <w:rPr>
          <w:rFonts w:ascii="仿宋_GB2312" w:hAnsi="Times New Roman" w:eastAsia="仿宋_GB2312"/>
          <w:sz w:val="32"/>
          <w:szCs w:val="32"/>
        </w:rPr>
      </w:pPr>
      <w:r>
        <w:rPr>
          <w:rFonts w:hint="eastAsia" w:ascii="仿宋_GB2312" w:hAnsi="Times New Roman" w:eastAsia="仿宋_GB2312"/>
          <w:kern w:val="0"/>
          <w:sz w:val="32"/>
          <w:szCs w:val="32"/>
          <w:lang w:bidi="ar"/>
        </w:rPr>
        <w:t>备注：患侧行髋关节置换术后，复审时不再认定为门诊慢特病。</w:t>
      </w:r>
    </w:p>
    <w:p w14:paraId="5165D51E">
      <w:pPr>
        <w:overflowPunct w:val="0"/>
        <w:autoSpaceDE w:val="0"/>
        <w:autoSpaceDN w:val="0"/>
        <w:adjustRightInd w:val="0"/>
        <w:snapToGrid w:val="0"/>
        <w:spacing w:line="570" w:lineRule="exact"/>
        <w:rPr>
          <w:rFonts w:ascii="黑体" w:hAnsi="黑体" w:eastAsia="黑体"/>
          <w:kern w:val="0"/>
          <w:sz w:val="32"/>
          <w:szCs w:val="32"/>
          <w:lang w:bidi="ar"/>
        </w:rPr>
      </w:pPr>
      <w:r>
        <w:rPr>
          <w:rFonts w:hint="eastAsia" w:ascii="仿宋_GB2312" w:hAnsi="Times New Roman" w:eastAsia="仿宋_GB2312"/>
          <w:kern w:val="0"/>
          <w:sz w:val="32"/>
          <w:szCs w:val="32"/>
          <w:lang w:bidi="ar"/>
        </w:rPr>
        <w:t xml:space="preserve">     </w:t>
      </w:r>
      <w:r>
        <w:rPr>
          <w:rFonts w:hint="eastAsia" w:ascii="黑体" w:hAnsi="黑体" w:eastAsia="黑体"/>
          <w:kern w:val="0"/>
          <w:sz w:val="32"/>
          <w:szCs w:val="32"/>
          <w:lang w:bidi="ar"/>
        </w:rPr>
        <w:t>三十六、大骨节病</w:t>
      </w:r>
    </w:p>
    <w:p w14:paraId="6A19D51D">
      <w:pPr>
        <w:overflowPunct w:val="0"/>
        <w:autoSpaceDE w:val="0"/>
        <w:autoSpaceDN w:val="0"/>
        <w:adjustRightInd w:val="0"/>
        <w:snapToGrid w:val="0"/>
        <w:spacing w:line="570" w:lineRule="exact"/>
        <w:rPr>
          <w:rFonts w:ascii="楷体_GB2312" w:hAnsi="Times New Roman" w:eastAsia="楷体_GB2312"/>
          <w:kern w:val="0"/>
          <w:sz w:val="32"/>
          <w:szCs w:val="32"/>
          <w:lang w:bidi="ar"/>
        </w:rPr>
      </w:pPr>
      <w:r>
        <w:rPr>
          <w:rFonts w:hint="eastAsia" w:ascii="仿宋_GB2312" w:hAnsi="Times New Roman" w:eastAsia="仿宋_GB2312"/>
          <w:kern w:val="0"/>
          <w:sz w:val="32"/>
          <w:szCs w:val="32"/>
          <w:lang w:bidi="ar"/>
        </w:rPr>
        <w:t xml:space="preserve">   </w:t>
      </w:r>
      <w:r>
        <w:rPr>
          <w:rFonts w:hint="eastAsia" w:ascii="楷体_GB2312" w:hAnsi="Times New Roman" w:eastAsia="楷体_GB2312"/>
          <w:kern w:val="0"/>
          <w:sz w:val="32"/>
          <w:szCs w:val="32"/>
          <w:lang w:bidi="ar"/>
        </w:rPr>
        <w:t xml:space="preserve"> （一）申报资料</w:t>
      </w:r>
    </w:p>
    <w:p w14:paraId="4C722511">
      <w:pPr>
        <w:overflowPunct w:val="0"/>
        <w:autoSpaceDE w:val="0"/>
        <w:autoSpaceDN w:val="0"/>
        <w:adjustRightInd w:val="0"/>
        <w:snapToGrid w:val="0"/>
        <w:spacing w:line="570" w:lineRule="exact"/>
        <w:rPr>
          <w:rFonts w:ascii="仿宋_GB2312" w:hAnsi="Times New Roman" w:eastAsia="仿宋_GB2312"/>
          <w:kern w:val="0"/>
          <w:sz w:val="32"/>
          <w:szCs w:val="32"/>
          <w:lang w:bidi="ar"/>
        </w:rPr>
      </w:pPr>
      <w:r>
        <w:rPr>
          <w:rFonts w:hint="eastAsia" w:ascii="仿宋_GB2312" w:hAnsi="Times New Roman" w:eastAsia="仿宋_GB2312"/>
          <w:kern w:val="0"/>
          <w:sz w:val="32"/>
          <w:szCs w:val="32"/>
          <w:lang w:bidi="ar"/>
        </w:rPr>
        <w:t xml:space="preserve">    1.患者本人</w:t>
      </w:r>
      <w:r>
        <w:rPr>
          <w:rFonts w:hint="eastAsia" w:ascii="仿宋_GB2312" w:hAnsi="Times New Roman" w:eastAsia="仿宋_GB2312"/>
          <w:sz w:val="32"/>
          <w:szCs w:val="32"/>
        </w:rPr>
        <w:t>医保定点医疗机构</w:t>
      </w:r>
      <w:r>
        <w:rPr>
          <w:rFonts w:hint="eastAsia" w:ascii="仿宋_GB2312" w:hAnsi="Times New Roman" w:eastAsia="仿宋_GB2312"/>
          <w:kern w:val="0"/>
          <w:sz w:val="32"/>
          <w:szCs w:val="32"/>
          <w:lang w:bidi="ar"/>
        </w:rPr>
        <w:t>病历(包括门诊病历或近期住院病历复印件)及二级以上</w:t>
      </w:r>
      <w:r>
        <w:rPr>
          <w:rFonts w:hint="eastAsia" w:ascii="仿宋_GB2312" w:hAnsi="Times New Roman" w:eastAsia="仿宋_GB2312"/>
          <w:sz w:val="32"/>
          <w:szCs w:val="32"/>
        </w:rPr>
        <w:t>医保定点医疗机构</w:t>
      </w:r>
      <w:r>
        <w:rPr>
          <w:rFonts w:hint="eastAsia" w:ascii="仿宋_GB2312" w:hAnsi="Times New Roman" w:eastAsia="仿宋_GB2312"/>
          <w:kern w:val="0"/>
          <w:sz w:val="32"/>
          <w:szCs w:val="32"/>
          <w:lang w:bidi="ar"/>
        </w:rPr>
        <w:t>专科副主任医师以上医生的诊断证明；</w:t>
      </w:r>
    </w:p>
    <w:p w14:paraId="4B58823C">
      <w:pPr>
        <w:overflowPunct w:val="0"/>
        <w:autoSpaceDE w:val="0"/>
        <w:autoSpaceDN w:val="0"/>
        <w:adjustRightInd w:val="0"/>
        <w:snapToGrid w:val="0"/>
        <w:spacing w:line="570" w:lineRule="exact"/>
        <w:rPr>
          <w:rFonts w:ascii="仿宋_GB2312" w:hAnsi="Times New Roman" w:eastAsia="仿宋_GB2312"/>
          <w:kern w:val="0"/>
          <w:sz w:val="32"/>
          <w:szCs w:val="32"/>
          <w:lang w:bidi="ar"/>
        </w:rPr>
      </w:pPr>
      <w:r>
        <w:rPr>
          <w:rFonts w:hint="eastAsia" w:ascii="仿宋_GB2312" w:hAnsi="Times New Roman" w:eastAsia="仿宋_GB2312"/>
          <w:kern w:val="0"/>
          <w:sz w:val="32"/>
          <w:szCs w:val="32"/>
          <w:lang w:bidi="ar"/>
        </w:rPr>
        <w:t xml:space="preserve">    2.有关临床资料，包括病史、症状、体征等；</w:t>
      </w:r>
    </w:p>
    <w:p w14:paraId="142D9319">
      <w:pPr>
        <w:overflowPunct w:val="0"/>
        <w:autoSpaceDE w:val="0"/>
        <w:autoSpaceDN w:val="0"/>
        <w:adjustRightInd w:val="0"/>
        <w:snapToGrid w:val="0"/>
        <w:spacing w:line="570" w:lineRule="exact"/>
        <w:rPr>
          <w:rFonts w:ascii="仿宋_GB2312" w:hAnsi="Times New Roman" w:eastAsia="仿宋_GB2312"/>
          <w:kern w:val="0"/>
          <w:sz w:val="32"/>
          <w:szCs w:val="32"/>
          <w:lang w:bidi="ar"/>
        </w:rPr>
      </w:pPr>
      <w:r>
        <w:rPr>
          <w:rFonts w:hint="eastAsia" w:ascii="仿宋_GB2312" w:hAnsi="Times New Roman" w:eastAsia="仿宋_GB2312"/>
          <w:kern w:val="0"/>
          <w:sz w:val="32"/>
          <w:szCs w:val="32"/>
          <w:lang w:bidi="ar"/>
        </w:rPr>
        <w:t xml:space="preserve">    3.关节的影像学资料（包括CT、MRI及X线阳性检查结果）；</w:t>
      </w:r>
    </w:p>
    <w:p w14:paraId="225084DA">
      <w:pPr>
        <w:overflowPunct w:val="0"/>
        <w:autoSpaceDE w:val="0"/>
        <w:autoSpaceDN w:val="0"/>
        <w:adjustRightInd w:val="0"/>
        <w:snapToGrid w:val="0"/>
        <w:spacing w:line="570" w:lineRule="exact"/>
        <w:rPr>
          <w:rFonts w:ascii="仿宋_GB2312" w:hAnsi="Times New Roman" w:eastAsia="仿宋_GB2312"/>
          <w:kern w:val="0"/>
          <w:sz w:val="32"/>
          <w:szCs w:val="32"/>
          <w:lang w:bidi="ar"/>
        </w:rPr>
      </w:pPr>
      <w:r>
        <w:rPr>
          <w:rFonts w:hint="eastAsia" w:ascii="仿宋_GB2312" w:hAnsi="Times New Roman" w:eastAsia="仿宋_GB2312"/>
          <w:kern w:val="0"/>
          <w:sz w:val="32"/>
          <w:szCs w:val="32"/>
          <w:lang w:bidi="ar"/>
        </w:rPr>
        <w:t xml:space="preserve">    4.</w:t>
      </w:r>
      <w:r>
        <w:rPr>
          <w:rFonts w:hint="eastAsia" w:ascii="仿宋_GB2312" w:hAnsi="Times New Roman" w:eastAsia="仿宋_GB2312"/>
          <w:sz w:val="32"/>
          <w:szCs w:val="32"/>
        </w:rPr>
        <w:t>医保定点医疗机构</w:t>
      </w:r>
      <w:r>
        <w:rPr>
          <w:rFonts w:hint="eastAsia" w:ascii="仿宋_GB2312" w:hAnsi="Times New Roman" w:eastAsia="仿宋_GB2312"/>
          <w:kern w:val="0"/>
          <w:sz w:val="32"/>
          <w:szCs w:val="32"/>
          <w:lang w:bidi="ar"/>
        </w:rPr>
        <w:t>专科主治医师以上医生为患者制定的治疗计划。</w:t>
      </w:r>
    </w:p>
    <w:p w14:paraId="4A73FE9D">
      <w:pPr>
        <w:overflowPunct w:val="0"/>
        <w:autoSpaceDE w:val="0"/>
        <w:autoSpaceDN w:val="0"/>
        <w:adjustRightInd w:val="0"/>
        <w:snapToGrid w:val="0"/>
        <w:spacing w:line="570" w:lineRule="exact"/>
        <w:rPr>
          <w:rFonts w:ascii="楷体_GB2312" w:hAnsi="Times New Roman" w:eastAsia="楷体_GB2312"/>
          <w:kern w:val="0"/>
          <w:sz w:val="32"/>
          <w:szCs w:val="32"/>
          <w:lang w:bidi="ar"/>
        </w:rPr>
      </w:pPr>
      <w:r>
        <w:rPr>
          <w:rFonts w:hint="eastAsia" w:ascii="仿宋_GB2312" w:hAnsi="Times New Roman" w:eastAsia="仿宋_GB2312"/>
          <w:kern w:val="0"/>
          <w:sz w:val="32"/>
          <w:szCs w:val="32"/>
          <w:lang w:bidi="ar"/>
        </w:rPr>
        <w:t xml:space="preserve">    </w:t>
      </w:r>
      <w:r>
        <w:rPr>
          <w:rFonts w:hint="eastAsia" w:ascii="楷体_GB2312" w:hAnsi="Times New Roman" w:eastAsia="楷体_GB2312"/>
          <w:kern w:val="0"/>
          <w:sz w:val="32"/>
          <w:szCs w:val="32"/>
          <w:lang w:bidi="ar"/>
        </w:rPr>
        <w:t>（二）治疗指征（认定标准）</w:t>
      </w:r>
    </w:p>
    <w:p w14:paraId="600F072E">
      <w:pPr>
        <w:overflowPunct w:val="0"/>
        <w:autoSpaceDE w:val="0"/>
        <w:autoSpaceDN w:val="0"/>
        <w:adjustRightInd w:val="0"/>
        <w:snapToGrid w:val="0"/>
        <w:spacing w:line="570" w:lineRule="exact"/>
        <w:rPr>
          <w:rFonts w:ascii="仿宋_GB2312" w:hAnsi="Times New Roman" w:eastAsia="仿宋_GB2312"/>
          <w:kern w:val="0"/>
          <w:sz w:val="32"/>
          <w:szCs w:val="32"/>
          <w:lang w:bidi="ar"/>
        </w:rPr>
      </w:pPr>
      <w:r>
        <w:rPr>
          <w:rFonts w:hint="eastAsia" w:ascii="仿宋_GB2312" w:hAnsi="Times New Roman" w:eastAsia="仿宋_GB2312"/>
          <w:kern w:val="0"/>
          <w:sz w:val="32"/>
          <w:szCs w:val="32"/>
          <w:lang w:bidi="ar"/>
        </w:rPr>
        <w:t xml:space="preserve">    1.指末节弯曲；</w:t>
      </w:r>
    </w:p>
    <w:p w14:paraId="6835D5AD">
      <w:pPr>
        <w:overflowPunct w:val="0"/>
        <w:autoSpaceDE w:val="0"/>
        <w:autoSpaceDN w:val="0"/>
        <w:adjustRightInd w:val="0"/>
        <w:snapToGrid w:val="0"/>
        <w:spacing w:line="570" w:lineRule="exact"/>
        <w:ind w:firstLine="640" w:firstLineChars="200"/>
        <w:rPr>
          <w:rFonts w:ascii="仿宋_GB2312" w:hAnsi="Times New Roman" w:eastAsia="仿宋_GB2312"/>
          <w:kern w:val="0"/>
          <w:sz w:val="32"/>
          <w:szCs w:val="32"/>
          <w:lang w:bidi="ar"/>
        </w:rPr>
      </w:pPr>
      <w:r>
        <w:rPr>
          <w:rFonts w:hint="eastAsia" w:ascii="仿宋_GB2312" w:hAnsi="Times New Roman" w:eastAsia="仿宋_GB2312"/>
          <w:kern w:val="0"/>
          <w:sz w:val="32"/>
          <w:szCs w:val="32"/>
          <w:lang w:bidi="ar"/>
        </w:rPr>
        <w:t>2.</w:t>
      </w:r>
      <w:r>
        <w:fldChar w:fldCharType="begin"/>
      </w:r>
      <w:r>
        <w:instrText xml:space="preserve"> HYPERLINK "http://tag.120ask.com/zhengzhuang/gzz/" \t "http://tag.120ask.com/jibing/dgjb/_blank" </w:instrText>
      </w:r>
      <w:r>
        <w:fldChar w:fldCharType="separate"/>
      </w:r>
      <w:r>
        <w:rPr>
          <w:rFonts w:hint="eastAsia" w:ascii="仿宋_GB2312" w:hAnsi="Times New Roman" w:eastAsia="仿宋_GB2312"/>
          <w:kern w:val="0"/>
          <w:sz w:val="32"/>
          <w:szCs w:val="32"/>
          <w:lang w:bidi="ar"/>
        </w:rPr>
        <w:t>弓状指</w:t>
      </w:r>
      <w:r>
        <w:rPr>
          <w:rFonts w:hint="eastAsia" w:ascii="仿宋_GB2312" w:hAnsi="Times New Roman" w:eastAsia="仿宋_GB2312"/>
          <w:kern w:val="0"/>
          <w:sz w:val="32"/>
          <w:szCs w:val="32"/>
          <w:lang w:bidi="ar"/>
        </w:rPr>
        <w:fldChar w:fldCharType="end"/>
      </w:r>
      <w:r>
        <w:rPr>
          <w:rFonts w:hint="eastAsia" w:ascii="仿宋_GB2312" w:hAnsi="Times New Roman" w:eastAsia="仿宋_GB2312"/>
          <w:kern w:val="0"/>
          <w:sz w:val="32"/>
          <w:szCs w:val="32"/>
          <w:lang w:bidi="ar"/>
        </w:rPr>
        <w:t>；</w:t>
      </w:r>
    </w:p>
    <w:p w14:paraId="681F6132">
      <w:pPr>
        <w:overflowPunct w:val="0"/>
        <w:autoSpaceDE w:val="0"/>
        <w:autoSpaceDN w:val="0"/>
        <w:adjustRightInd w:val="0"/>
        <w:snapToGrid w:val="0"/>
        <w:spacing w:line="570" w:lineRule="exact"/>
        <w:rPr>
          <w:rFonts w:ascii="仿宋_GB2312" w:hAnsi="Times New Roman" w:eastAsia="仿宋_GB2312"/>
          <w:kern w:val="0"/>
          <w:sz w:val="32"/>
          <w:szCs w:val="32"/>
          <w:lang w:bidi="ar"/>
        </w:rPr>
      </w:pPr>
      <w:r>
        <w:rPr>
          <w:rFonts w:hint="eastAsia" w:ascii="仿宋_GB2312" w:hAnsi="Times New Roman" w:eastAsia="仿宋_GB2312"/>
          <w:kern w:val="0"/>
          <w:sz w:val="32"/>
          <w:szCs w:val="32"/>
          <w:lang w:bidi="ar"/>
        </w:rPr>
        <w:t xml:space="preserve">    3.疑似</w:t>
      </w:r>
      <w:r>
        <w:fldChar w:fldCharType="begin"/>
      </w:r>
      <w:r>
        <w:instrText xml:space="preserve"> HYPERLINK "http://tag.120ask.com/zhengzhuang/zjzc/" \t "http://tag.120ask.com/jibing/dgjb/_blank" </w:instrText>
      </w:r>
      <w:r>
        <w:fldChar w:fldCharType="separate"/>
      </w:r>
      <w:r>
        <w:rPr>
          <w:rFonts w:hint="eastAsia" w:ascii="仿宋_GB2312" w:hAnsi="Times New Roman" w:eastAsia="仿宋_GB2312"/>
          <w:kern w:val="0"/>
          <w:sz w:val="32"/>
          <w:szCs w:val="32"/>
          <w:lang w:bidi="ar"/>
        </w:rPr>
        <w:t>指节增粗</w:t>
      </w:r>
      <w:r>
        <w:rPr>
          <w:rFonts w:hint="eastAsia" w:ascii="仿宋_GB2312" w:hAnsi="Times New Roman" w:eastAsia="仿宋_GB2312"/>
          <w:kern w:val="0"/>
          <w:sz w:val="32"/>
          <w:szCs w:val="32"/>
          <w:lang w:bidi="ar"/>
        </w:rPr>
        <w:fldChar w:fldCharType="end"/>
      </w:r>
      <w:r>
        <w:rPr>
          <w:rFonts w:hint="eastAsia" w:ascii="仿宋_GB2312" w:hAnsi="Times New Roman" w:eastAsia="仿宋_GB2312"/>
          <w:kern w:val="0"/>
          <w:sz w:val="32"/>
          <w:szCs w:val="32"/>
          <w:lang w:bidi="ar"/>
        </w:rPr>
        <w:t>；</w:t>
      </w:r>
    </w:p>
    <w:p w14:paraId="48D6098A">
      <w:pPr>
        <w:overflowPunct w:val="0"/>
        <w:autoSpaceDE w:val="0"/>
        <w:autoSpaceDN w:val="0"/>
        <w:adjustRightInd w:val="0"/>
        <w:snapToGrid w:val="0"/>
        <w:spacing w:line="570" w:lineRule="exact"/>
        <w:rPr>
          <w:rFonts w:ascii="仿宋_GB2312" w:hAnsi="Times New Roman" w:eastAsia="仿宋_GB2312"/>
          <w:kern w:val="0"/>
          <w:sz w:val="32"/>
          <w:szCs w:val="32"/>
          <w:lang w:bidi="ar"/>
        </w:rPr>
      </w:pPr>
      <w:r>
        <w:rPr>
          <w:rFonts w:hint="eastAsia" w:ascii="仿宋_GB2312" w:hAnsi="Times New Roman" w:eastAsia="仿宋_GB2312"/>
          <w:kern w:val="0"/>
          <w:sz w:val="32"/>
          <w:szCs w:val="32"/>
          <w:lang w:bidi="ar"/>
        </w:rPr>
        <w:t xml:space="preserve">    4.踝、</w:t>
      </w:r>
      <w:r>
        <w:fldChar w:fldCharType="begin"/>
      </w:r>
      <w:r>
        <w:instrText xml:space="preserve"> HYPERLINK "http://tag.120ask.com/zhengzhuang/xgjtt/" \t "http://tag.120ask.com/jibing/dgjb/_blank" </w:instrText>
      </w:r>
      <w:r>
        <w:fldChar w:fldCharType="separate"/>
      </w:r>
      <w:r>
        <w:rPr>
          <w:rFonts w:hint="eastAsia" w:ascii="仿宋_GB2312" w:hAnsi="Times New Roman" w:eastAsia="仿宋_GB2312"/>
          <w:kern w:val="0"/>
          <w:sz w:val="32"/>
          <w:szCs w:val="32"/>
          <w:lang w:bidi="ar"/>
        </w:rPr>
        <w:t>膝关节疼痛</w:t>
      </w:r>
      <w:r>
        <w:rPr>
          <w:rFonts w:hint="eastAsia" w:ascii="仿宋_GB2312" w:hAnsi="Times New Roman" w:eastAsia="仿宋_GB2312"/>
          <w:kern w:val="0"/>
          <w:sz w:val="32"/>
          <w:szCs w:val="32"/>
          <w:lang w:bidi="ar"/>
        </w:rPr>
        <w:fldChar w:fldCharType="end"/>
      </w:r>
      <w:r>
        <w:rPr>
          <w:rFonts w:hint="eastAsia" w:ascii="仿宋_GB2312" w:hAnsi="Times New Roman" w:eastAsia="仿宋_GB2312"/>
          <w:kern w:val="0"/>
          <w:sz w:val="32"/>
          <w:szCs w:val="32"/>
          <w:lang w:bidi="ar"/>
        </w:rPr>
        <w:t>。凡在疫区居住6个月以上的儿童，上述症状体征有2项以上（含2项）阳性并且对称性存在者，有诊断意义。如同时有X线改变，则可确认为早期。如干骺端X线改变与临床所见只有1项为阳性者，应作为早期观察对象，观察时间为6个月。</w:t>
      </w:r>
      <w:r>
        <w:rPr>
          <w:rFonts w:hint="eastAsia" w:ascii="仿宋_GB2312" w:hAnsi="Times New Roman" w:eastAsia="仿宋_GB2312"/>
          <w:bCs/>
          <w:kern w:val="0"/>
          <w:sz w:val="32"/>
          <w:szCs w:val="32"/>
          <w:lang w:bidi="ar"/>
        </w:rPr>
        <w:t>X线诊断标准为：</w:t>
      </w:r>
      <w:r>
        <w:rPr>
          <w:rFonts w:hint="eastAsia" w:ascii="仿宋_GB2312" w:hAnsi="Times New Roman" w:eastAsia="仿宋_GB2312"/>
          <w:kern w:val="0"/>
          <w:sz w:val="32"/>
          <w:szCs w:val="32"/>
          <w:lang w:bidi="ar"/>
        </w:rPr>
        <w:t>以掌指骨、腕骨、距跟骨和跖趾骨的X线照片为准：（1）</w:t>
      </w:r>
      <w:r>
        <w:fldChar w:fldCharType="begin"/>
      </w:r>
      <w:r>
        <w:instrText xml:space="preserve"> HYPERLINK "http://tag.120ask.com/zhengzhuang/gaihua/" \t "http://tag.120ask.com/jibing/dgjb/_blank" </w:instrText>
      </w:r>
      <w:r>
        <w:fldChar w:fldCharType="separate"/>
      </w:r>
      <w:r>
        <w:rPr>
          <w:rFonts w:hint="eastAsia" w:ascii="仿宋_GB2312" w:hAnsi="Times New Roman" w:eastAsia="仿宋_GB2312"/>
          <w:kern w:val="0"/>
          <w:sz w:val="32"/>
          <w:szCs w:val="32"/>
          <w:lang w:bidi="ar"/>
        </w:rPr>
        <w:t>钙化</w:t>
      </w:r>
      <w:r>
        <w:rPr>
          <w:rFonts w:hint="eastAsia" w:ascii="仿宋_GB2312" w:hAnsi="Times New Roman" w:eastAsia="仿宋_GB2312"/>
          <w:kern w:val="0"/>
          <w:sz w:val="32"/>
          <w:szCs w:val="32"/>
          <w:lang w:bidi="ar"/>
        </w:rPr>
        <w:fldChar w:fldCharType="end"/>
      </w:r>
      <w:r>
        <w:rPr>
          <w:rFonts w:hint="eastAsia" w:ascii="仿宋_GB2312" w:hAnsi="Times New Roman" w:eastAsia="仿宋_GB2312"/>
          <w:kern w:val="0"/>
          <w:sz w:val="32"/>
          <w:szCs w:val="32"/>
          <w:lang w:bidi="ar"/>
        </w:rPr>
        <w:t>带变薄、模糊、中断、消失（2）凹陷</w:t>
      </w:r>
      <w:r>
        <w:fldChar w:fldCharType="begin"/>
      </w:r>
      <w:r>
        <w:instrText xml:space="preserve"> HYPERLINK "http://tag.120ask.com/zhengzhuang/yinghua/" \t "http://tag.120ask.com/jibing/dgjb/_blank" </w:instrText>
      </w:r>
      <w:r>
        <w:fldChar w:fldCharType="separate"/>
      </w:r>
      <w:r>
        <w:rPr>
          <w:rFonts w:hint="eastAsia" w:ascii="仿宋_GB2312" w:hAnsi="Times New Roman" w:eastAsia="仿宋_GB2312"/>
          <w:kern w:val="0"/>
          <w:sz w:val="32"/>
          <w:szCs w:val="32"/>
          <w:lang w:bidi="ar"/>
        </w:rPr>
        <w:t>硬化</w:t>
      </w:r>
      <w:r>
        <w:rPr>
          <w:rFonts w:hint="eastAsia" w:ascii="仿宋_GB2312" w:hAnsi="Times New Roman" w:eastAsia="仿宋_GB2312"/>
          <w:kern w:val="0"/>
          <w:sz w:val="32"/>
          <w:szCs w:val="32"/>
          <w:lang w:bidi="ar"/>
        </w:rPr>
        <w:fldChar w:fldCharType="end"/>
      </w:r>
      <w:r>
        <w:rPr>
          <w:rFonts w:hint="eastAsia" w:ascii="仿宋_GB2312" w:hAnsi="Times New Roman" w:eastAsia="仿宋_GB2312"/>
          <w:kern w:val="0"/>
          <w:sz w:val="32"/>
          <w:szCs w:val="32"/>
          <w:lang w:bidi="ar"/>
        </w:rPr>
        <w:t>（3）钙化带再现（4）骺变形，骺线早期闭合；</w:t>
      </w:r>
    </w:p>
    <w:p w14:paraId="09BC3832">
      <w:pPr>
        <w:overflowPunct w:val="0"/>
        <w:autoSpaceDE w:val="0"/>
        <w:autoSpaceDN w:val="0"/>
        <w:adjustRightInd w:val="0"/>
        <w:snapToGrid w:val="0"/>
        <w:spacing w:line="570" w:lineRule="exact"/>
        <w:rPr>
          <w:rFonts w:ascii="仿宋_GB2312" w:hAnsi="Times New Roman" w:eastAsia="仿宋_GB2312"/>
          <w:kern w:val="0"/>
          <w:sz w:val="32"/>
          <w:szCs w:val="32"/>
          <w:lang w:bidi="ar"/>
        </w:rPr>
      </w:pPr>
      <w:r>
        <w:rPr>
          <w:rFonts w:hint="eastAsia" w:ascii="仿宋_GB2312" w:hAnsi="Times New Roman" w:eastAsia="仿宋_GB2312"/>
          <w:kern w:val="0"/>
          <w:sz w:val="32"/>
          <w:szCs w:val="32"/>
          <w:lang w:bidi="ar"/>
        </w:rPr>
        <w:t xml:space="preserve">    5.关节增粗，短指畸形。这里“钙化带”既指骺板软骨深层的临时钙化带，也包括骨骺和腕、跗骨骨化核周围肥大软骨细胞的钙化带。“钙化带再现”通常指骺板软</w:t>
      </w:r>
      <w:r>
        <w:fldChar w:fldCharType="begin"/>
      </w:r>
      <w:r>
        <w:instrText xml:space="preserve"> HYPERLINK "http://tag.120ask.com/jibing/guhuaisi/" \t "http://tag.120ask.com/jibing/dgjb/_blank" </w:instrText>
      </w:r>
      <w:r>
        <w:fldChar w:fldCharType="separate"/>
      </w:r>
      <w:r>
        <w:rPr>
          <w:rFonts w:hint="eastAsia" w:ascii="仿宋_GB2312" w:hAnsi="Times New Roman" w:eastAsia="仿宋_GB2312"/>
          <w:kern w:val="0"/>
          <w:sz w:val="32"/>
          <w:szCs w:val="32"/>
          <w:lang w:bidi="ar"/>
        </w:rPr>
        <w:t>骨坏死</w:t>
      </w:r>
      <w:r>
        <w:rPr>
          <w:rFonts w:hint="eastAsia" w:ascii="仿宋_GB2312" w:hAnsi="Times New Roman" w:eastAsia="仿宋_GB2312"/>
          <w:kern w:val="0"/>
          <w:sz w:val="32"/>
          <w:szCs w:val="32"/>
          <w:lang w:bidi="ar"/>
        </w:rPr>
        <w:fldChar w:fldCharType="end"/>
      </w:r>
      <w:r>
        <w:rPr>
          <w:rFonts w:hint="eastAsia" w:ascii="仿宋_GB2312" w:hAnsi="Times New Roman" w:eastAsia="仿宋_GB2312"/>
          <w:kern w:val="0"/>
          <w:sz w:val="32"/>
          <w:szCs w:val="32"/>
          <w:lang w:bidi="ar"/>
        </w:rPr>
        <w:t>灶上方（骺侧）的软骨细胞继续生长分化，重新出现基质钙化的肥大细胞层，因而X线下重新出现一条钙化带。这是一种愈复现象，表示此处软骨不再发生坏死。</w:t>
      </w:r>
    </w:p>
    <w:p w14:paraId="2F7D0839">
      <w:pPr>
        <w:overflowPunct w:val="0"/>
        <w:autoSpaceDE w:val="0"/>
        <w:autoSpaceDN w:val="0"/>
        <w:adjustRightInd w:val="0"/>
        <w:snapToGrid w:val="0"/>
        <w:spacing w:line="570" w:lineRule="exact"/>
        <w:rPr>
          <w:rFonts w:ascii="仿宋_GB2312" w:hAnsi="Times New Roman" w:eastAsia="仿宋_GB2312"/>
          <w:kern w:val="0"/>
          <w:sz w:val="32"/>
          <w:szCs w:val="32"/>
          <w:lang w:bidi="ar"/>
        </w:rPr>
      </w:pPr>
      <w:r>
        <w:rPr>
          <w:rFonts w:hint="eastAsia" w:ascii="仿宋_GB2312" w:hAnsi="Times New Roman" w:eastAsia="仿宋_GB2312"/>
          <w:kern w:val="0"/>
          <w:sz w:val="32"/>
          <w:szCs w:val="32"/>
          <w:lang w:bidi="ar"/>
        </w:rPr>
        <w:t xml:space="preserve">    </w:t>
      </w:r>
      <w:r>
        <w:rPr>
          <w:rFonts w:hint="eastAsia" w:ascii="楷体_GB2312" w:hAnsi="Times New Roman" w:eastAsia="楷体_GB2312"/>
          <w:kern w:val="0"/>
          <w:sz w:val="32"/>
          <w:szCs w:val="32"/>
          <w:lang w:bidi="ar"/>
        </w:rPr>
        <w:t xml:space="preserve">（三）门诊诊疗范围 </w:t>
      </w:r>
    </w:p>
    <w:p w14:paraId="005095E6">
      <w:pPr>
        <w:overflowPunct w:val="0"/>
        <w:autoSpaceDE w:val="0"/>
        <w:autoSpaceDN w:val="0"/>
        <w:adjustRightInd w:val="0"/>
        <w:snapToGrid w:val="0"/>
        <w:spacing w:line="570" w:lineRule="exact"/>
        <w:rPr>
          <w:rFonts w:ascii="仿宋_GB2312" w:hAnsi="Times New Roman" w:eastAsia="仿宋_GB2312"/>
          <w:kern w:val="0"/>
          <w:sz w:val="32"/>
          <w:szCs w:val="32"/>
          <w:lang w:bidi="ar"/>
        </w:rPr>
      </w:pPr>
      <w:r>
        <w:rPr>
          <w:rFonts w:hint="eastAsia" w:ascii="仿宋_GB2312" w:hAnsi="Times New Roman" w:eastAsia="仿宋_GB2312"/>
          <w:kern w:val="0"/>
          <w:sz w:val="32"/>
          <w:szCs w:val="32"/>
          <w:lang w:bidi="ar"/>
        </w:rPr>
        <w:t xml:space="preserve">    1.非甾体抗炎药；</w:t>
      </w:r>
    </w:p>
    <w:p w14:paraId="28D38B4E">
      <w:pPr>
        <w:overflowPunct w:val="0"/>
        <w:autoSpaceDE w:val="0"/>
        <w:autoSpaceDN w:val="0"/>
        <w:adjustRightInd w:val="0"/>
        <w:snapToGrid w:val="0"/>
        <w:spacing w:line="570" w:lineRule="exact"/>
        <w:rPr>
          <w:rFonts w:ascii="仿宋_GB2312" w:hAnsi="Times New Roman" w:eastAsia="仿宋_GB2312"/>
          <w:kern w:val="0"/>
          <w:sz w:val="32"/>
          <w:szCs w:val="32"/>
          <w:lang w:bidi="ar"/>
        </w:rPr>
      </w:pPr>
      <w:r>
        <w:rPr>
          <w:rFonts w:hint="eastAsia" w:ascii="仿宋_GB2312" w:hAnsi="Times New Roman" w:eastAsia="仿宋_GB2312"/>
          <w:kern w:val="0"/>
          <w:sz w:val="32"/>
          <w:szCs w:val="32"/>
          <w:lang w:bidi="ar"/>
        </w:rPr>
        <w:t xml:space="preserve">    2.氨基葡萄糖；</w:t>
      </w:r>
    </w:p>
    <w:p w14:paraId="607E5D37">
      <w:pPr>
        <w:overflowPunct w:val="0"/>
        <w:autoSpaceDE w:val="0"/>
        <w:autoSpaceDN w:val="0"/>
        <w:adjustRightInd w:val="0"/>
        <w:snapToGrid w:val="0"/>
        <w:spacing w:line="570" w:lineRule="exact"/>
        <w:rPr>
          <w:rFonts w:ascii="仿宋_GB2312" w:hAnsi="Times New Roman" w:eastAsia="仿宋_GB2312"/>
          <w:kern w:val="0"/>
          <w:sz w:val="32"/>
          <w:szCs w:val="32"/>
          <w:lang w:bidi="ar"/>
        </w:rPr>
      </w:pPr>
      <w:r>
        <w:rPr>
          <w:rFonts w:hint="eastAsia" w:ascii="仿宋_GB2312" w:hAnsi="Times New Roman" w:eastAsia="仿宋_GB2312"/>
          <w:kern w:val="0"/>
          <w:sz w:val="32"/>
          <w:szCs w:val="32"/>
          <w:lang w:bidi="ar"/>
        </w:rPr>
        <w:t xml:space="preserve">    3.关节内注射玻璃酸钠；</w:t>
      </w:r>
    </w:p>
    <w:p w14:paraId="5AAED2F4">
      <w:pPr>
        <w:overflowPunct w:val="0"/>
        <w:autoSpaceDE w:val="0"/>
        <w:autoSpaceDN w:val="0"/>
        <w:adjustRightInd w:val="0"/>
        <w:snapToGrid w:val="0"/>
        <w:spacing w:line="570" w:lineRule="exact"/>
        <w:rPr>
          <w:rFonts w:ascii="仿宋_GB2312" w:hAnsi="Times New Roman" w:eastAsia="仿宋_GB2312"/>
          <w:kern w:val="0"/>
          <w:sz w:val="32"/>
          <w:szCs w:val="32"/>
          <w:lang w:bidi="ar"/>
        </w:rPr>
      </w:pPr>
      <w:r>
        <w:rPr>
          <w:rFonts w:hint="eastAsia" w:ascii="仿宋_GB2312" w:hAnsi="Times New Roman" w:eastAsia="仿宋_GB2312"/>
          <w:kern w:val="0"/>
          <w:sz w:val="32"/>
          <w:szCs w:val="32"/>
          <w:lang w:bidi="ar"/>
        </w:rPr>
        <w:t xml:space="preserve">    4.针灸、针刀；</w:t>
      </w:r>
    </w:p>
    <w:p w14:paraId="0793AD7E">
      <w:pPr>
        <w:overflowPunct w:val="0"/>
        <w:autoSpaceDE w:val="0"/>
        <w:autoSpaceDN w:val="0"/>
        <w:adjustRightInd w:val="0"/>
        <w:snapToGrid w:val="0"/>
        <w:spacing w:line="570" w:lineRule="exact"/>
        <w:rPr>
          <w:rFonts w:ascii="仿宋_GB2312" w:hAnsi="Times New Roman" w:eastAsia="仿宋_GB2312"/>
          <w:kern w:val="0"/>
          <w:sz w:val="32"/>
          <w:szCs w:val="32"/>
          <w:lang w:bidi="ar"/>
        </w:rPr>
      </w:pPr>
      <w:r>
        <w:rPr>
          <w:rFonts w:hint="eastAsia" w:ascii="仿宋_GB2312" w:hAnsi="Times New Roman" w:eastAsia="仿宋_GB2312"/>
          <w:kern w:val="0"/>
          <w:sz w:val="32"/>
          <w:szCs w:val="32"/>
          <w:lang w:bidi="ar"/>
        </w:rPr>
        <w:t xml:space="preserve">    5.中药饮片、中成药及治疗性医疗机构制剂；</w:t>
      </w:r>
    </w:p>
    <w:p w14:paraId="479F72DB">
      <w:pPr>
        <w:overflowPunct w:val="0"/>
        <w:autoSpaceDE w:val="0"/>
        <w:autoSpaceDN w:val="0"/>
        <w:adjustRightInd w:val="0"/>
        <w:snapToGrid w:val="0"/>
        <w:spacing w:line="570" w:lineRule="exact"/>
        <w:rPr>
          <w:rFonts w:ascii="仿宋_GB2312" w:hAnsi="Times New Roman" w:eastAsia="仿宋_GB2312"/>
          <w:kern w:val="0"/>
          <w:sz w:val="32"/>
          <w:szCs w:val="32"/>
          <w:lang w:bidi="ar"/>
        </w:rPr>
      </w:pPr>
      <w:r>
        <w:rPr>
          <w:rFonts w:hint="eastAsia" w:ascii="仿宋_GB2312" w:hAnsi="Times New Roman" w:eastAsia="仿宋_GB2312"/>
          <w:kern w:val="0"/>
          <w:sz w:val="32"/>
          <w:szCs w:val="32"/>
          <w:lang w:bidi="ar"/>
        </w:rPr>
        <w:t xml:space="preserve">    6.治疗期前、治疗期间及治疗期后的相关检查。</w:t>
      </w:r>
    </w:p>
    <w:p w14:paraId="1C16ADE3">
      <w:pPr>
        <w:overflowPunct w:val="0"/>
        <w:autoSpaceDE w:val="0"/>
        <w:autoSpaceDN w:val="0"/>
        <w:adjustRightInd w:val="0"/>
        <w:snapToGrid w:val="0"/>
        <w:spacing w:line="570" w:lineRule="exact"/>
        <w:ind w:firstLine="640" w:firstLineChars="200"/>
        <w:rPr>
          <w:rFonts w:ascii="楷体_GB2312" w:hAnsi="Times New Roman" w:eastAsia="楷体_GB2312"/>
          <w:kern w:val="0"/>
          <w:sz w:val="32"/>
          <w:szCs w:val="32"/>
          <w:lang w:bidi="ar"/>
        </w:rPr>
      </w:pPr>
      <w:r>
        <w:rPr>
          <w:rFonts w:hint="eastAsia" w:ascii="楷体_GB2312" w:hAnsi="Times New Roman" w:eastAsia="楷体_GB2312"/>
          <w:kern w:val="0"/>
          <w:sz w:val="32"/>
          <w:szCs w:val="32"/>
          <w:lang w:bidi="ar"/>
        </w:rPr>
        <w:t>（四）复审期限</w:t>
      </w:r>
    </w:p>
    <w:p w14:paraId="1AC83749">
      <w:pPr>
        <w:overflowPunct w:val="0"/>
        <w:autoSpaceDE w:val="0"/>
        <w:autoSpaceDN w:val="0"/>
        <w:adjustRightInd w:val="0"/>
        <w:snapToGrid w:val="0"/>
        <w:spacing w:line="570" w:lineRule="exact"/>
        <w:rPr>
          <w:rFonts w:ascii="仿宋_GB2312" w:hAnsi="Times New Roman" w:eastAsia="仿宋_GB2312"/>
          <w:sz w:val="32"/>
          <w:szCs w:val="32"/>
        </w:rPr>
      </w:pPr>
      <w:r>
        <w:rPr>
          <w:rFonts w:hint="eastAsia" w:ascii="仿宋_GB2312" w:hAnsi="Times New Roman" w:eastAsia="仿宋_GB2312"/>
          <w:bCs/>
          <w:sz w:val="32"/>
          <w:szCs w:val="32"/>
        </w:rPr>
        <w:t xml:space="preserve">    每2年复审一次。</w:t>
      </w:r>
    </w:p>
    <w:p w14:paraId="246455CB">
      <w:pPr>
        <w:overflowPunct w:val="0"/>
        <w:autoSpaceDE w:val="0"/>
        <w:autoSpaceDN w:val="0"/>
        <w:adjustRightInd w:val="0"/>
        <w:snapToGrid w:val="0"/>
        <w:spacing w:line="570" w:lineRule="exact"/>
        <w:rPr>
          <w:rFonts w:ascii="黑体" w:hAnsi="黑体" w:eastAsia="黑体"/>
          <w:kern w:val="0"/>
          <w:sz w:val="32"/>
          <w:szCs w:val="32"/>
          <w:lang w:bidi="ar"/>
        </w:rPr>
      </w:pPr>
      <w:r>
        <w:rPr>
          <w:rFonts w:hint="eastAsia" w:ascii="仿宋_GB2312" w:hAnsi="Times New Roman" w:eastAsia="仿宋_GB2312"/>
          <w:kern w:val="0"/>
          <w:sz w:val="32"/>
          <w:szCs w:val="32"/>
          <w:lang w:bidi="ar"/>
        </w:rPr>
        <w:t xml:space="preserve">   </w:t>
      </w:r>
      <w:r>
        <w:rPr>
          <w:rFonts w:hint="eastAsia" w:ascii="黑体" w:hAnsi="黑体" w:eastAsia="黑体"/>
          <w:kern w:val="0"/>
          <w:sz w:val="32"/>
          <w:szCs w:val="32"/>
          <w:lang w:bidi="ar"/>
        </w:rPr>
        <w:t xml:space="preserve"> 三十七、氟骨病</w:t>
      </w:r>
    </w:p>
    <w:p w14:paraId="534902DF">
      <w:pPr>
        <w:overflowPunct w:val="0"/>
        <w:autoSpaceDE w:val="0"/>
        <w:autoSpaceDN w:val="0"/>
        <w:adjustRightInd w:val="0"/>
        <w:snapToGrid w:val="0"/>
        <w:spacing w:line="570" w:lineRule="exact"/>
        <w:rPr>
          <w:rFonts w:ascii="楷体_GB2312" w:hAnsi="Times New Roman" w:eastAsia="楷体_GB2312"/>
          <w:kern w:val="0"/>
          <w:sz w:val="32"/>
          <w:szCs w:val="32"/>
          <w:lang w:bidi="ar"/>
        </w:rPr>
      </w:pPr>
      <w:r>
        <w:rPr>
          <w:rFonts w:hint="eastAsia" w:ascii="仿宋_GB2312" w:hAnsi="Times New Roman" w:eastAsia="仿宋_GB2312"/>
          <w:kern w:val="0"/>
          <w:sz w:val="32"/>
          <w:szCs w:val="32"/>
          <w:lang w:bidi="ar"/>
        </w:rPr>
        <w:t xml:space="preserve">   </w:t>
      </w:r>
      <w:r>
        <w:rPr>
          <w:rFonts w:hint="eastAsia" w:ascii="楷体_GB2312" w:hAnsi="Times New Roman" w:eastAsia="楷体_GB2312"/>
          <w:kern w:val="0"/>
          <w:sz w:val="32"/>
          <w:szCs w:val="32"/>
          <w:lang w:bidi="ar"/>
        </w:rPr>
        <w:t xml:space="preserve"> （一）申报资料</w:t>
      </w:r>
    </w:p>
    <w:p w14:paraId="7DBD17FA">
      <w:pPr>
        <w:overflowPunct w:val="0"/>
        <w:autoSpaceDE w:val="0"/>
        <w:autoSpaceDN w:val="0"/>
        <w:adjustRightInd w:val="0"/>
        <w:snapToGrid w:val="0"/>
        <w:spacing w:line="570" w:lineRule="exact"/>
        <w:rPr>
          <w:rFonts w:ascii="仿宋_GB2312" w:hAnsi="Times New Roman" w:eastAsia="仿宋_GB2312"/>
          <w:kern w:val="0"/>
          <w:sz w:val="32"/>
          <w:szCs w:val="32"/>
          <w:lang w:bidi="ar"/>
        </w:rPr>
      </w:pPr>
      <w:r>
        <w:rPr>
          <w:rFonts w:hint="eastAsia" w:ascii="仿宋_GB2312" w:hAnsi="Times New Roman" w:eastAsia="仿宋_GB2312"/>
          <w:kern w:val="0"/>
          <w:sz w:val="32"/>
          <w:szCs w:val="32"/>
          <w:lang w:bidi="ar"/>
        </w:rPr>
        <w:t xml:space="preserve">    1.患者本人</w:t>
      </w:r>
      <w:r>
        <w:rPr>
          <w:rFonts w:hint="eastAsia" w:ascii="仿宋_GB2312" w:hAnsi="Times New Roman" w:eastAsia="仿宋_GB2312"/>
          <w:sz w:val="32"/>
          <w:szCs w:val="32"/>
        </w:rPr>
        <w:t>医保定点医疗机构</w:t>
      </w:r>
      <w:r>
        <w:rPr>
          <w:rFonts w:hint="eastAsia" w:ascii="仿宋_GB2312" w:hAnsi="Times New Roman" w:eastAsia="仿宋_GB2312"/>
          <w:kern w:val="0"/>
          <w:sz w:val="32"/>
          <w:szCs w:val="32"/>
          <w:lang w:bidi="ar"/>
        </w:rPr>
        <w:t>病历(包括门诊病历或近期住院病历复印件)及二级</w:t>
      </w:r>
      <w:r>
        <w:rPr>
          <w:rFonts w:hint="eastAsia" w:ascii="仿宋_GB2312" w:hAnsi="Times New Roman" w:eastAsia="仿宋_GB2312"/>
          <w:sz w:val="32"/>
          <w:szCs w:val="32"/>
        </w:rPr>
        <w:t>医保定点医疗机构</w:t>
      </w:r>
      <w:r>
        <w:rPr>
          <w:rFonts w:hint="eastAsia" w:ascii="仿宋_GB2312" w:hAnsi="Times New Roman" w:eastAsia="仿宋_GB2312"/>
          <w:kern w:val="0"/>
          <w:sz w:val="32"/>
          <w:szCs w:val="32"/>
          <w:lang w:bidi="ar"/>
        </w:rPr>
        <w:t>专科副主任医师以上医生的诊断证明；</w:t>
      </w:r>
    </w:p>
    <w:p w14:paraId="61F9D1B9">
      <w:pPr>
        <w:overflowPunct w:val="0"/>
        <w:autoSpaceDE w:val="0"/>
        <w:autoSpaceDN w:val="0"/>
        <w:adjustRightInd w:val="0"/>
        <w:snapToGrid w:val="0"/>
        <w:spacing w:line="570" w:lineRule="exact"/>
        <w:rPr>
          <w:rFonts w:ascii="仿宋_GB2312" w:hAnsi="Times New Roman" w:eastAsia="仿宋_GB2312"/>
          <w:kern w:val="0"/>
          <w:sz w:val="32"/>
          <w:szCs w:val="32"/>
          <w:lang w:bidi="ar"/>
        </w:rPr>
      </w:pPr>
      <w:r>
        <w:rPr>
          <w:rFonts w:hint="eastAsia" w:ascii="仿宋_GB2312" w:hAnsi="Times New Roman" w:eastAsia="仿宋_GB2312"/>
          <w:kern w:val="0"/>
          <w:sz w:val="32"/>
          <w:szCs w:val="32"/>
          <w:lang w:bidi="ar"/>
        </w:rPr>
        <w:t xml:space="preserve">    2.有关临床资料，包括病史、症状、体征等；</w:t>
      </w:r>
    </w:p>
    <w:p w14:paraId="7E1A35E0">
      <w:pPr>
        <w:overflowPunct w:val="0"/>
        <w:autoSpaceDE w:val="0"/>
        <w:autoSpaceDN w:val="0"/>
        <w:adjustRightInd w:val="0"/>
        <w:snapToGrid w:val="0"/>
        <w:spacing w:line="570" w:lineRule="exact"/>
        <w:rPr>
          <w:rFonts w:ascii="仿宋_GB2312" w:hAnsi="Times New Roman" w:eastAsia="仿宋_GB2312"/>
          <w:kern w:val="0"/>
          <w:sz w:val="32"/>
          <w:szCs w:val="32"/>
          <w:lang w:bidi="ar"/>
        </w:rPr>
      </w:pPr>
      <w:r>
        <w:rPr>
          <w:rFonts w:hint="eastAsia" w:ascii="仿宋_GB2312" w:hAnsi="Times New Roman" w:eastAsia="仿宋_GB2312"/>
          <w:kern w:val="0"/>
          <w:sz w:val="32"/>
          <w:szCs w:val="32"/>
          <w:lang w:bidi="ar"/>
        </w:rPr>
        <w:t xml:space="preserve">    3.关节的影像学资料（包括CT、MRI及X线阳性检查结果）；</w:t>
      </w:r>
    </w:p>
    <w:p w14:paraId="47446988">
      <w:pPr>
        <w:pStyle w:val="17"/>
        <w:overflowPunct w:val="0"/>
        <w:autoSpaceDE w:val="0"/>
        <w:autoSpaceDN w:val="0"/>
        <w:adjustRightInd w:val="0"/>
        <w:snapToGrid w:val="0"/>
        <w:spacing w:line="570" w:lineRule="exact"/>
        <w:ind w:firstLine="0" w:firstLineChars="0"/>
        <w:rPr>
          <w:rFonts w:ascii="仿宋_GB2312" w:hAnsi="Times New Roman" w:eastAsia="仿宋_GB2312"/>
          <w:kern w:val="0"/>
          <w:sz w:val="32"/>
          <w:szCs w:val="32"/>
          <w:lang w:bidi="ar"/>
        </w:rPr>
      </w:pPr>
      <w:r>
        <w:rPr>
          <w:rFonts w:hint="eastAsia" w:ascii="仿宋_GB2312" w:hAnsi="Times New Roman" w:eastAsia="仿宋_GB2312"/>
          <w:kern w:val="0"/>
          <w:sz w:val="32"/>
          <w:szCs w:val="32"/>
          <w:lang w:bidi="ar"/>
        </w:rPr>
        <w:t xml:space="preserve">    4.</w:t>
      </w:r>
      <w:r>
        <w:rPr>
          <w:rFonts w:hint="eastAsia" w:ascii="仿宋_GB2312" w:hAnsi="Times New Roman" w:eastAsia="仿宋_GB2312"/>
          <w:sz w:val="32"/>
          <w:szCs w:val="32"/>
        </w:rPr>
        <w:t>医保定点医疗机构</w:t>
      </w:r>
      <w:r>
        <w:rPr>
          <w:rFonts w:hint="eastAsia" w:ascii="仿宋_GB2312" w:hAnsi="Times New Roman" w:eastAsia="仿宋_GB2312"/>
          <w:kern w:val="0"/>
          <w:sz w:val="32"/>
          <w:szCs w:val="32"/>
          <w:lang w:bidi="ar"/>
        </w:rPr>
        <w:t>专科主治医师以上医生为患者制定的治疗计划。</w:t>
      </w:r>
    </w:p>
    <w:p w14:paraId="55A4A5F6">
      <w:pPr>
        <w:overflowPunct w:val="0"/>
        <w:autoSpaceDE w:val="0"/>
        <w:autoSpaceDN w:val="0"/>
        <w:adjustRightInd w:val="0"/>
        <w:snapToGrid w:val="0"/>
        <w:spacing w:line="570" w:lineRule="exact"/>
        <w:rPr>
          <w:rFonts w:ascii="仿宋_GB2312" w:hAnsi="Times New Roman" w:eastAsia="仿宋_GB2312"/>
          <w:kern w:val="0"/>
          <w:sz w:val="32"/>
          <w:szCs w:val="32"/>
          <w:lang w:bidi="ar"/>
        </w:rPr>
      </w:pPr>
      <w:r>
        <w:rPr>
          <w:rFonts w:hint="eastAsia" w:ascii="仿宋_GB2312" w:hAnsi="Times New Roman" w:eastAsia="仿宋_GB2312"/>
          <w:kern w:val="0"/>
          <w:sz w:val="32"/>
          <w:szCs w:val="32"/>
          <w:lang w:bidi="ar"/>
        </w:rPr>
        <w:t xml:space="preserve">    </w:t>
      </w:r>
      <w:r>
        <w:rPr>
          <w:rFonts w:hint="eastAsia" w:ascii="楷体_GB2312" w:hAnsi="Times New Roman" w:eastAsia="楷体_GB2312"/>
          <w:kern w:val="0"/>
          <w:sz w:val="32"/>
          <w:szCs w:val="32"/>
          <w:lang w:bidi="ar"/>
        </w:rPr>
        <w:t>（二）治疗指征（认定标准）</w:t>
      </w:r>
    </w:p>
    <w:p w14:paraId="55D3A861">
      <w:pPr>
        <w:overflowPunct w:val="0"/>
        <w:autoSpaceDE w:val="0"/>
        <w:autoSpaceDN w:val="0"/>
        <w:adjustRightInd w:val="0"/>
        <w:snapToGrid w:val="0"/>
        <w:spacing w:line="570" w:lineRule="exact"/>
        <w:rPr>
          <w:rFonts w:ascii="仿宋_GB2312" w:hAnsi="Times New Roman" w:eastAsia="仿宋_GB2312"/>
          <w:kern w:val="0"/>
          <w:sz w:val="32"/>
          <w:szCs w:val="32"/>
          <w:lang w:bidi="ar"/>
        </w:rPr>
      </w:pPr>
      <w:r>
        <w:rPr>
          <w:rFonts w:hint="eastAsia" w:ascii="仿宋_GB2312" w:hAnsi="Times New Roman" w:eastAsia="仿宋_GB2312"/>
          <w:kern w:val="0"/>
          <w:sz w:val="32"/>
          <w:szCs w:val="32"/>
          <w:lang w:bidi="ar"/>
        </w:rPr>
        <w:t xml:space="preserve">    1.骨和关节持续性休息痛症状：四肢大关节、颈和腰等3个及以上部位具有不受季节、气候变化影响的持续性休息痛症状；</w:t>
      </w:r>
    </w:p>
    <w:p w14:paraId="034B8896">
      <w:pPr>
        <w:pStyle w:val="17"/>
        <w:overflowPunct w:val="0"/>
        <w:autoSpaceDE w:val="0"/>
        <w:autoSpaceDN w:val="0"/>
        <w:adjustRightInd w:val="0"/>
        <w:snapToGrid w:val="0"/>
        <w:spacing w:line="570" w:lineRule="exact"/>
        <w:ind w:firstLine="0" w:firstLineChars="0"/>
        <w:rPr>
          <w:rFonts w:ascii="仿宋_GB2312" w:hAnsi="Times New Roman" w:eastAsia="仿宋_GB2312"/>
          <w:kern w:val="0"/>
          <w:sz w:val="32"/>
          <w:szCs w:val="32"/>
          <w:lang w:bidi="ar"/>
        </w:rPr>
      </w:pPr>
      <w:r>
        <w:rPr>
          <w:rFonts w:hint="eastAsia" w:ascii="仿宋_GB2312" w:hAnsi="Times New Roman" w:eastAsia="仿宋_GB2312"/>
          <w:kern w:val="0"/>
          <w:sz w:val="32"/>
          <w:szCs w:val="32"/>
          <w:lang w:bidi="ar"/>
        </w:rPr>
        <w:t xml:space="preserve">    2.关节活动受限：肘关节屈曲畸形，屈肘时中指不能触及同侧肩峰，经枕后中指不能触及对侧耳廓，经后背中指不能触及对侧肩胛下角，臂上举不到180度；下肢伸膝受限，下蹲困难，膝内翻或膝外翻畸形；颈部前屈、后伸、左右旋转受限；腰部前屈、后伸、左右旋转受限，脊柱变形；</w:t>
      </w:r>
    </w:p>
    <w:p w14:paraId="12D853DE">
      <w:pPr>
        <w:pStyle w:val="17"/>
        <w:overflowPunct w:val="0"/>
        <w:autoSpaceDE w:val="0"/>
        <w:autoSpaceDN w:val="0"/>
        <w:adjustRightInd w:val="0"/>
        <w:snapToGrid w:val="0"/>
        <w:spacing w:line="570" w:lineRule="exact"/>
        <w:ind w:firstLine="620" w:firstLineChars="0"/>
        <w:rPr>
          <w:rFonts w:ascii="仿宋_GB2312" w:hAnsi="Times New Roman" w:eastAsia="仿宋_GB2312"/>
          <w:kern w:val="0"/>
          <w:sz w:val="32"/>
          <w:szCs w:val="32"/>
          <w:lang w:bidi="ar"/>
        </w:rPr>
      </w:pPr>
      <w:r>
        <w:rPr>
          <w:rFonts w:hint="eastAsia" w:ascii="仿宋_GB2312" w:hAnsi="Times New Roman" w:eastAsia="仿宋_GB2312"/>
          <w:kern w:val="0"/>
          <w:sz w:val="32"/>
          <w:szCs w:val="32"/>
          <w:lang w:bidi="ar"/>
        </w:rPr>
        <w:t xml:space="preserve">3.继发性神经损伤：因椎管、神经根管以及椎间孔狭窄造成的疼痛、麻木、肢体无力、跛行、大小便障碍、瘫痪等一系列神经功能障碍；    </w:t>
      </w:r>
    </w:p>
    <w:p w14:paraId="68AB345F">
      <w:pPr>
        <w:pStyle w:val="17"/>
        <w:overflowPunct w:val="0"/>
        <w:autoSpaceDE w:val="0"/>
        <w:autoSpaceDN w:val="0"/>
        <w:adjustRightInd w:val="0"/>
        <w:snapToGrid w:val="0"/>
        <w:spacing w:line="570" w:lineRule="exact"/>
        <w:ind w:firstLine="620" w:firstLineChars="0"/>
        <w:rPr>
          <w:rFonts w:ascii="仿宋_GB2312" w:hAnsi="Times New Roman" w:eastAsia="仿宋_GB2312"/>
          <w:kern w:val="0"/>
          <w:sz w:val="32"/>
          <w:szCs w:val="32"/>
          <w:lang w:bidi="ar"/>
        </w:rPr>
      </w:pPr>
      <w:r>
        <w:rPr>
          <w:rFonts w:hint="eastAsia" w:ascii="仿宋_GB2312" w:hAnsi="Times New Roman" w:eastAsia="仿宋_GB2312"/>
          <w:kern w:val="0"/>
          <w:sz w:val="32"/>
          <w:szCs w:val="32"/>
          <w:lang w:bidi="ar"/>
        </w:rPr>
        <w:t>4.影像学检查：氟骨症患者可出现骨质硬化、骨质疏松、骨质软化、肌腱韧带附着处骨化、关节退行性改变等一般性X线征象，各征象可单独存在也可同时存在。</w:t>
      </w:r>
      <w:r>
        <w:rPr>
          <w:rFonts w:hint="eastAsia" w:ascii="仿宋_GB2312" w:hAnsi="Times New Roman" w:eastAsia="仿宋_GB2312"/>
          <w:bCs/>
          <w:kern w:val="0"/>
          <w:sz w:val="32"/>
          <w:szCs w:val="32"/>
          <w:lang w:bidi="ar"/>
        </w:rPr>
        <w:t>典型X线征象特指:</w:t>
      </w:r>
      <w:r>
        <w:rPr>
          <w:rFonts w:hint="eastAsia" w:ascii="仿宋_GB2312" w:hAnsi="Times New Roman" w:eastAsia="仿宋_GB2312"/>
          <w:kern w:val="0"/>
          <w:sz w:val="32"/>
          <w:szCs w:val="32"/>
          <w:lang w:bidi="ar"/>
        </w:rPr>
        <w:t>桡骨嵴增大、边缘硬化、表面粗糙；尺桡骨间膜骨化；胫腓骨间膜骨化；闭孔膜骨化；旋前圆肌附着处骨皮质松化；比目鱼肌肌腱骨化；骶棘韧带骨化；骶结节韧带骨化。</w:t>
      </w:r>
    </w:p>
    <w:p w14:paraId="7F833F17">
      <w:pPr>
        <w:overflowPunct w:val="0"/>
        <w:autoSpaceDE w:val="0"/>
        <w:autoSpaceDN w:val="0"/>
        <w:adjustRightInd w:val="0"/>
        <w:snapToGrid w:val="0"/>
        <w:spacing w:line="570" w:lineRule="exact"/>
        <w:rPr>
          <w:rFonts w:ascii="仿宋_GB2312" w:hAnsi="Times New Roman" w:eastAsia="仿宋_GB2312"/>
          <w:kern w:val="0"/>
          <w:sz w:val="32"/>
          <w:szCs w:val="32"/>
          <w:lang w:bidi="ar"/>
        </w:rPr>
      </w:pPr>
      <w:r>
        <w:rPr>
          <w:rFonts w:hint="eastAsia" w:ascii="仿宋_GB2312" w:hAnsi="Times New Roman" w:eastAsia="仿宋_GB2312"/>
          <w:kern w:val="0"/>
          <w:sz w:val="32"/>
          <w:szCs w:val="32"/>
          <w:lang w:bidi="ar"/>
        </w:rPr>
        <w:t xml:space="preserve">  </w:t>
      </w:r>
      <w:r>
        <w:rPr>
          <w:rFonts w:hint="eastAsia" w:ascii="楷体_GB2312" w:hAnsi="Times New Roman" w:eastAsia="楷体_GB2312"/>
          <w:kern w:val="0"/>
          <w:sz w:val="32"/>
          <w:szCs w:val="32"/>
          <w:lang w:bidi="ar"/>
        </w:rPr>
        <w:t xml:space="preserve">  （三）门诊诊疗范围 </w:t>
      </w:r>
    </w:p>
    <w:p w14:paraId="611BA5BB">
      <w:pPr>
        <w:overflowPunct w:val="0"/>
        <w:autoSpaceDE w:val="0"/>
        <w:autoSpaceDN w:val="0"/>
        <w:adjustRightInd w:val="0"/>
        <w:snapToGrid w:val="0"/>
        <w:spacing w:line="570" w:lineRule="exact"/>
        <w:rPr>
          <w:rFonts w:ascii="仿宋_GB2312" w:hAnsi="Times New Roman" w:eastAsia="仿宋_GB2312"/>
          <w:kern w:val="0"/>
          <w:sz w:val="32"/>
          <w:szCs w:val="32"/>
          <w:lang w:bidi="ar"/>
        </w:rPr>
      </w:pPr>
      <w:r>
        <w:rPr>
          <w:rFonts w:hint="eastAsia" w:ascii="仿宋_GB2312" w:hAnsi="Times New Roman" w:eastAsia="仿宋_GB2312"/>
          <w:kern w:val="0"/>
          <w:sz w:val="32"/>
          <w:szCs w:val="32"/>
          <w:lang w:bidi="ar"/>
        </w:rPr>
        <w:t xml:space="preserve">    1.非甾体抗炎药；</w:t>
      </w:r>
    </w:p>
    <w:p w14:paraId="3F901977">
      <w:pPr>
        <w:overflowPunct w:val="0"/>
        <w:autoSpaceDE w:val="0"/>
        <w:autoSpaceDN w:val="0"/>
        <w:adjustRightInd w:val="0"/>
        <w:snapToGrid w:val="0"/>
        <w:spacing w:line="570" w:lineRule="exact"/>
        <w:rPr>
          <w:rFonts w:ascii="仿宋_GB2312" w:hAnsi="Times New Roman" w:eastAsia="仿宋_GB2312"/>
          <w:kern w:val="0"/>
          <w:sz w:val="32"/>
          <w:szCs w:val="32"/>
          <w:lang w:bidi="ar"/>
        </w:rPr>
      </w:pPr>
      <w:r>
        <w:rPr>
          <w:rFonts w:hint="eastAsia" w:ascii="仿宋_GB2312" w:hAnsi="Times New Roman" w:eastAsia="仿宋_GB2312"/>
          <w:kern w:val="0"/>
          <w:sz w:val="32"/>
          <w:szCs w:val="32"/>
          <w:lang w:bidi="ar"/>
        </w:rPr>
        <w:t xml:space="preserve">    2.消炎镇痛类药；</w:t>
      </w:r>
    </w:p>
    <w:p w14:paraId="214CECED">
      <w:pPr>
        <w:overflowPunct w:val="0"/>
        <w:autoSpaceDE w:val="0"/>
        <w:autoSpaceDN w:val="0"/>
        <w:adjustRightInd w:val="0"/>
        <w:snapToGrid w:val="0"/>
        <w:spacing w:line="570" w:lineRule="exact"/>
        <w:rPr>
          <w:rFonts w:ascii="仿宋_GB2312" w:hAnsi="Times New Roman" w:eastAsia="仿宋_GB2312"/>
          <w:kern w:val="0"/>
          <w:sz w:val="32"/>
          <w:szCs w:val="32"/>
          <w:lang w:bidi="ar"/>
        </w:rPr>
      </w:pPr>
      <w:r>
        <w:rPr>
          <w:rFonts w:hint="eastAsia" w:ascii="仿宋_GB2312" w:hAnsi="Times New Roman" w:eastAsia="仿宋_GB2312"/>
          <w:kern w:val="0"/>
          <w:sz w:val="32"/>
          <w:szCs w:val="32"/>
          <w:lang w:bidi="ar"/>
        </w:rPr>
        <w:t xml:space="preserve">    3.软骨保护剂；</w:t>
      </w:r>
    </w:p>
    <w:p w14:paraId="4C8AC39C">
      <w:pPr>
        <w:overflowPunct w:val="0"/>
        <w:autoSpaceDE w:val="0"/>
        <w:autoSpaceDN w:val="0"/>
        <w:adjustRightInd w:val="0"/>
        <w:snapToGrid w:val="0"/>
        <w:spacing w:line="570" w:lineRule="exact"/>
        <w:rPr>
          <w:rFonts w:ascii="仿宋_GB2312" w:hAnsi="Times New Roman" w:eastAsia="仿宋_GB2312"/>
          <w:kern w:val="0"/>
          <w:sz w:val="32"/>
          <w:szCs w:val="32"/>
          <w:lang w:bidi="ar"/>
        </w:rPr>
      </w:pPr>
      <w:r>
        <w:rPr>
          <w:rFonts w:hint="eastAsia" w:ascii="仿宋_GB2312" w:hAnsi="Times New Roman" w:eastAsia="仿宋_GB2312"/>
          <w:kern w:val="0"/>
          <w:sz w:val="32"/>
          <w:szCs w:val="32"/>
          <w:lang w:bidi="ar"/>
        </w:rPr>
        <w:t xml:space="preserve">    4.硒补充制剂，多元维生素片；</w:t>
      </w:r>
    </w:p>
    <w:p w14:paraId="7914B3A0">
      <w:pPr>
        <w:overflowPunct w:val="0"/>
        <w:autoSpaceDE w:val="0"/>
        <w:autoSpaceDN w:val="0"/>
        <w:adjustRightInd w:val="0"/>
        <w:snapToGrid w:val="0"/>
        <w:spacing w:line="570" w:lineRule="exact"/>
        <w:ind w:firstLine="620"/>
        <w:rPr>
          <w:rFonts w:ascii="仿宋_GB2312" w:hAnsi="Times New Roman" w:eastAsia="仿宋_GB2312"/>
          <w:kern w:val="0"/>
          <w:sz w:val="32"/>
          <w:szCs w:val="32"/>
          <w:lang w:bidi="ar"/>
        </w:rPr>
      </w:pPr>
      <w:r>
        <w:rPr>
          <w:rFonts w:hint="eastAsia" w:ascii="仿宋_GB2312" w:hAnsi="Times New Roman" w:eastAsia="仿宋_GB2312"/>
          <w:kern w:val="0"/>
          <w:sz w:val="32"/>
          <w:szCs w:val="32"/>
          <w:lang w:bidi="ar"/>
        </w:rPr>
        <w:t xml:space="preserve">5.氟排泄类药物：维生素及微量元素，如维生素C、维生素E; 钙剂; 镁盐; 铝盐；硼制剂； </w:t>
      </w:r>
    </w:p>
    <w:p w14:paraId="70F06CF3">
      <w:pPr>
        <w:overflowPunct w:val="0"/>
        <w:autoSpaceDE w:val="0"/>
        <w:autoSpaceDN w:val="0"/>
        <w:adjustRightInd w:val="0"/>
        <w:snapToGrid w:val="0"/>
        <w:spacing w:line="570" w:lineRule="exact"/>
        <w:ind w:firstLine="620"/>
        <w:rPr>
          <w:rFonts w:ascii="仿宋_GB2312" w:hAnsi="Times New Roman" w:eastAsia="仿宋_GB2312"/>
          <w:kern w:val="0"/>
          <w:sz w:val="32"/>
          <w:szCs w:val="32"/>
          <w:lang w:bidi="ar"/>
        </w:rPr>
      </w:pPr>
      <w:r>
        <w:rPr>
          <w:rFonts w:hint="eastAsia" w:ascii="仿宋_GB2312" w:hAnsi="Times New Roman" w:eastAsia="仿宋_GB2312"/>
          <w:kern w:val="0"/>
          <w:sz w:val="32"/>
          <w:szCs w:val="32"/>
          <w:lang w:bidi="ar"/>
        </w:rPr>
        <w:t>6.中药饮片、中成药及治疗性医疗机构制剂；</w:t>
      </w:r>
    </w:p>
    <w:p w14:paraId="43F71B9C">
      <w:pPr>
        <w:overflowPunct w:val="0"/>
        <w:autoSpaceDE w:val="0"/>
        <w:autoSpaceDN w:val="0"/>
        <w:adjustRightInd w:val="0"/>
        <w:snapToGrid w:val="0"/>
        <w:spacing w:line="570" w:lineRule="exact"/>
        <w:rPr>
          <w:rFonts w:ascii="仿宋_GB2312" w:hAnsi="Times New Roman" w:eastAsia="仿宋_GB2312"/>
          <w:kern w:val="0"/>
          <w:sz w:val="32"/>
          <w:szCs w:val="32"/>
          <w:lang w:bidi="ar"/>
        </w:rPr>
      </w:pPr>
      <w:r>
        <w:rPr>
          <w:rFonts w:hint="eastAsia" w:ascii="仿宋_GB2312" w:hAnsi="Times New Roman" w:eastAsia="仿宋_GB2312"/>
          <w:kern w:val="0"/>
          <w:sz w:val="32"/>
          <w:szCs w:val="32"/>
          <w:lang w:bidi="ar"/>
        </w:rPr>
        <w:t xml:space="preserve">    7.治疗期前、治疗期间及治疗期后的相关检查。</w:t>
      </w:r>
    </w:p>
    <w:p w14:paraId="5F9DF08F">
      <w:pPr>
        <w:overflowPunct w:val="0"/>
        <w:autoSpaceDE w:val="0"/>
        <w:autoSpaceDN w:val="0"/>
        <w:adjustRightInd w:val="0"/>
        <w:snapToGrid w:val="0"/>
        <w:spacing w:line="570" w:lineRule="exact"/>
        <w:ind w:firstLine="640" w:firstLineChars="200"/>
        <w:rPr>
          <w:rFonts w:ascii="楷体_GB2312" w:hAnsi="Times New Roman" w:eastAsia="楷体_GB2312"/>
          <w:kern w:val="0"/>
          <w:sz w:val="32"/>
          <w:szCs w:val="32"/>
          <w:lang w:bidi="ar"/>
        </w:rPr>
      </w:pPr>
      <w:r>
        <w:rPr>
          <w:rFonts w:hint="eastAsia" w:ascii="楷体_GB2312" w:hAnsi="Times New Roman" w:eastAsia="楷体_GB2312"/>
          <w:kern w:val="0"/>
          <w:sz w:val="32"/>
          <w:szCs w:val="32"/>
          <w:lang w:bidi="ar"/>
        </w:rPr>
        <w:t>（四）复审期限</w:t>
      </w:r>
    </w:p>
    <w:p w14:paraId="0D288AB6">
      <w:pPr>
        <w:overflowPunct w:val="0"/>
        <w:autoSpaceDE w:val="0"/>
        <w:autoSpaceDN w:val="0"/>
        <w:adjustRightInd w:val="0"/>
        <w:snapToGrid w:val="0"/>
        <w:spacing w:line="570" w:lineRule="exact"/>
        <w:rPr>
          <w:rFonts w:ascii="仿宋_GB2312" w:hAnsi="Times New Roman" w:eastAsia="仿宋_GB2312"/>
          <w:kern w:val="0"/>
          <w:sz w:val="32"/>
          <w:szCs w:val="32"/>
          <w:lang w:bidi="ar"/>
        </w:rPr>
      </w:pPr>
      <w:r>
        <w:rPr>
          <w:rFonts w:hint="eastAsia" w:ascii="仿宋_GB2312" w:hAnsi="Times New Roman" w:eastAsia="仿宋_GB2312"/>
          <w:bCs/>
          <w:sz w:val="32"/>
          <w:szCs w:val="32"/>
        </w:rPr>
        <w:t xml:space="preserve">    每2年复审一次。</w:t>
      </w:r>
      <w:r>
        <w:rPr>
          <w:rFonts w:hint="eastAsia" w:ascii="仿宋_GB2312" w:hAnsi="Times New Roman" w:eastAsia="仿宋_GB2312"/>
          <w:kern w:val="0"/>
          <w:sz w:val="32"/>
          <w:szCs w:val="32"/>
          <w:lang w:bidi="ar"/>
        </w:rPr>
        <w:t xml:space="preserve"> </w:t>
      </w:r>
    </w:p>
    <w:p w14:paraId="65BED74C">
      <w:pPr>
        <w:overflowPunct w:val="0"/>
        <w:autoSpaceDE w:val="0"/>
        <w:autoSpaceDN w:val="0"/>
        <w:adjustRightInd w:val="0"/>
        <w:snapToGrid w:val="0"/>
        <w:spacing w:line="570" w:lineRule="exact"/>
        <w:ind w:firstLine="640" w:firstLineChars="200"/>
        <w:rPr>
          <w:rFonts w:ascii="黑体" w:hAnsi="黑体" w:eastAsia="黑体"/>
          <w:sz w:val="32"/>
          <w:szCs w:val="32"/>
        </w:rPr>
      </w:pPr>
      <w:r>
        <w:rPr>
          <w:rFonts w:hint="eastAsia" w:ascii="黑体" w:hAnsi="黑体" w:eastAsia="黑体"/>
          <w:kern w:val="0"/>
          <w:sz w:val="32"/>
          <w:szCs w:val="32"/>
          <w:lang w:bidi="ar"/>
        </w:rPr>
        <w:t>三十八、</w:t>
      </w:r>
      <w:r>
        <w:rPr>
          <w:rFonts w:hint="eastAsia" w:ascii="黑体" w:hAnsi="黑体" w:eastAsia="黑体"/>
          <w:sz w:val="32"/>
          <w:szCs w:val="32"/>
        </w:rPr>
        <w:t>其他传染病和寄生虫病、</w:t>
      </w:r>
      <w:r>
        <w:rPr>
          <w:rFonts w:hint="eastAsia" w:ascii="黑体" w:hAnsi="黑体" w:eastAsia="黑体"/>
          <w:bCs/>
          <w:sz w:val="32"/>
          <w:szCs w:val="32"/>
        </w:rPr>
        <w:t>布鲁氏菌病、包虫病、疟疾、黑热病</w:t>
      </w:r>
    </w:p>
    <w:p w14:paraId="6CD98953">
      <w:pPr>
        <w:overflowPunct w:val="0"/>
        <w:autoSpaceDE w:val="0"/>
        <w:autoSpaceDN w:val="0"/>
        <w:adjustRightInd w:val="0"/>
        <w:snapToGrid w:val="0"/>
        <w:spacing w:line="570" w:lineRule="exact"/>
        <w:ind w:firstLine="630" w:firstLineChars="197"/>
        <w:rPr>
          <w:rFonts w:ascii="楷体_GB2312" w:hAnsi="Times New Roman" w:eastAsia="楷体_GB2312"/>
          <w:bCs/>
          <w:sz w:val="32"/>
          <w:szCs w:val="32"/>
        </w:rPr>
      </w:pPr>
      <w:r>
        <w:rPr>
          <w:rFonts w:hint="eastAsia" w:ascii="楷体_GB2312" w:hAnsi="Times New Roman" w:eastAsia="楷体_GB2312"/>
          <w:bCs/>
          <w:sz w:val="32"/>
          <w:szCs w:val="32"/>
        </w:rPr>
        <w:t>（一）申报资料</w:t>
      </w:r>
    </w:p>
    <w:p w14:paraId="175B4D4C">
      <w:pPr>
        <w:overflowPunct w:val="0"/>
        <w:autoSpaceDE w:val="0"/>
        <w:autoSpaceDN w:val="0"/>
        <w:adjustRightInd w:val="0"/>
        <w:snapToGrid w:val="0"/>
        <w:spacing w:line="570" w:lineRule="exact"/>
        <w:ind w:firstLine="640" w:firstLineChars="200"/>
        <w:rPr>
          <w:rFonts w:ascii="仿宋_GB2312" w:hAnsi="Times New Roman" w:eastAsia="仿宋_GB2312"/>
          <w:kern w:val="0"/>
          <w:sz w:val="32"/>
          <w:szCs w:val="32"/>
        </w:rPr>
      </w:pPr>
      <w:r>
        <w:rPr>
          <w:rFonts w:hint="eastAsia" w:ascii="仿宋_GB2312" w:hAnsi="Times New Roman" w:eastAsia="仿宋_GB2312"/>
          <w:kern w:val="0"/>
          <w:sz w:val="32"/>
          <w:szCs w:val="32"/>
        </w:rPr>
        <w:t>1.初次申办或待遇期满待办者须提供半年经二级以上医保定点医疗机构确定的住院病历或体检资料；</w:t>
      </w:r>
    </w:p>
    <w:p w14:paraId="6A1AFF07">
      <w:pPr>
        <w:overflowPunct w:val="0"/>
        <w:autoSpaceDE w:val="0"/>
        <w:autoSpaceDN w:val="0"/>
        <w:adjustRightInd w:val="0"/>
        <w:snapToGrid w:val="0"/>
        <w:spacing w:line="570" w:lineRule="exact"/>
        <w:ind w:firstLine="640" w:firstLineChars="200"/>
        <w:rPr>
          <w:rFonts w:ascii="仿宋_GB2312" w:hAnsi="Times New Roman" w:eastAsia="仿宋_GB2312"/>
          <w:kern w:val="0"/>
          <w:sz w:val="32"/>
          <w:szCs w:val="32"/>
        </w:rPr>
      </w:pPr>
      <w:r>
        <w:rPr>
          <w:rFonts w:hint="eastAsia" w:ascii="仿宋_GB2312" w:hAnsi="Times New Roman" w:eastAsia="仿宋_GB2312"/>
          <w:kern w:val="0"/>
          <w:sz w:val="32"/>
          <w:szCs w:val="32"/>
        </w:rPr>
        <w:t>2.临床资料：流行病史、症状、体征；</w:t>
      </w:r>
    </w:p>
    <w:p w14:paraId="5F78BBDB">
      <w:pPr>
        <w:overflowPunct w:val="0"/>
        <w:autoSpaceDE w:val="0"/>
        <w:autoSpaceDN w:val="0"/>
        <w:adjustRightInd w:val="0"/>
        <w:snapToGrid w:val="0"/>
        <w:spacing w:line="570" w:lineRule="exact"/>
        <w:ind w:firstLine="640" w:firstLineChars="200"/>
        <w:rPr>
          <w:rFonts w:ascii="仿宋_GB2312" w:hAnsi="Times New Roman" w:eastAsia="仿宋_GB2312"/>
          <w:kern w:val="0"/>
          <w:sz w:val="32"/>
          <w:szCs w:val="32"/>
        </w:rPr>
      </w:pPr>
      <w:r>
        <w:rPr>
          <w:rFonts w:hint="eastAsia" w:ascii="仿宋_GB2312" w:hAnsi="Times New Roman" w:eastAsia="仿宋_GB2312"/>
          <w:kern w:val="0"/>
          <w:sz w:val="32"/>
          <w:szCs w:val="32"/>
        </w:rPr>
        <w:t>3.相关实验室检查资料（相关化验、血清学检查、病原学检查）；</w:t>
      </w:r>
    </w:p>
    <w:p w14:paraId="3CB32CF9">
      <w:pPr>
        <w:overflowPunct w:val="0"/>
        <w:autoSpaceDE w:val="0"/>
        <w:autoSpaceDN w:val="0"/>
        <w:adjustRightInd w:val="0"/>
        <w:snapToGrid w:val="0"/>
        <w:spacing w:line="570" w:lineRule="exact"/>
        <w:ind w:firstLine="640" w:firstLineChars="200"/>
        <w:rPr>
          <w:rFonts w:ascii="仿宋_GB2312" w:hAnsi="Times New Roman" w:eastAsia="仿宋_GB2312"/>
          <w:kern w:val="0"/>
          <w:sz w:val="32"/>
          <w:szCs w:val="32"/>
        </w:rPr>
      </w:pPr>
      <w:r>
        <w:rPr>
          <w:rFonts w:hint="eastAsia" w:ascii="仿宋_GB2312" w:hAnsi="Times New Roman" w:eastAsia="仿宋_GB2312"/>
          <w:kern w:val="0"/>
          <w:sz w:val="32"/>
          <w:szCs w:val="32"/>
        </w:rPr>
        <w:t>4.相关影像学资料；</w:t>
      </w:r>
    </w:p>
    <w:p w14:paraId="104B911B">
      <w:pPr>
        <w:overflowPunct w:val="0"/>
        <w:autoSpaceDE w:val="0"/>
        <w:autoSpaceDN w:val="0"/>
        <w:adjustRightInd w:val="0"/>
        <w:snapToGrid w:val="0"/>
        <w:spacing w:line="570" w:lineRule="exact"/>
        <w:ind w:firstLine="640" w:firstLineChars="200"/>
        <w:rPr>
          <w:rFonts w:ascii="仿宋_GB2312" w:hAnsi="Times New Roman" w:eastAsia="仿宋_GB2312"/>
          <w:kern w:val="0"/>
          <w:sz w:val="32"/>
          <w:szCs w:val="32"/>
        </w:rPr>
      </w:pPr>
      <w:r>
        <w:rPr>
          <w:rFonts w:hint="eastAsia" w:ascii="仿宋_GB2312" w:hAnsi="Times New Roman" w:eastAsia="仿宋_GB2312"/>
          <w:kern w:val="0"/>
          <w:sz w:val="32"/>
          <w:szCs w:val="32"/>
        </w:rPr>
        <w:t>5.医保定点医疗机构传染病科或相关科室主治医师以上（含主治医师）签名的诊疗计划或开具的购药处方（须注明所用的名称、剂量、服用方法），并加盖公章。</w:t>
      </w:r>
    </w:p>
    <w:p w14:paraId="36442398">
      <w:pPr>
        <w:overflowPunct w:val="0"/>
        <w:autoSpaceDE w:val="0"/>
        <w:autoSpaceDN w:val="0"/>
        <w:adjustRightInd w:val="0"/>
        <w:snapToGrid w:val="0"/>
        <w:spacing w:line="570" w:lineRule="exact"/>
        <w:ind w:firstLine="630" w:firstLineChars="197"/>
        <w:rPr>
          <w:rFonts w:ascii="楷体_GB2312" w:hAnsi="Times New Roman" w:eastAsia="楷体_GB2312"/>
          <w:bCs/>
          <w:sz w:val="32"/>
          <w:szCs w:val="32"/>
        </w:rPr>
      </w:pPr>
      <w:r>
        <w:rPr>
          <w:rFonts w:hint="eastAsia" w:ascii="楷体_GB2312" w:hAnsi="Times New Roman" w:eastAsia="楷体_GB2312"/>
          <w:bCs/>
          <w:sz w:val="32"/>
          <w:szCs w:val="32"/>
        </w:rPr>
        <w:t>（二）治疗指征（认定标准）</w:t>
      </w:r>
    </w:p>
    <w:p w14:paraId="027830FE">
      <w:pPr>
        <w:overflowPunct w:val="0"/>
        <w:autoSpaceDE w:val="0"/>
        <w:autoSpaceDN w:val="0"/>
        <w:adjustRightInd w:val="0"/>
        <w:snapToGrid w:val="0"/>
        <w:spacing w:line="570" w:lineRule="exact"/>
        <w:ind w:firstLine="640" w:firstLineChars="200"/>
        <w:rPr>
          <w:rFonts w:ascii="仿宋_GB2312" w:hAnsi="Times New Roman" w:eastAsia="仿宋_GB2312"/>
          <w:kern w:val="0"/>
          <w:sz w:val="32"/>
          <w:szCs w:val="32"/>
          <w:highlight w:val="green"/>
        </w:rPr>
      </w:pPr>
      <w:r>
        <w:rPr>
          <w:rFonts w:hint="eastAsia" w:ascii="仿宋_GB2312" w:hAnsi="Times New Roman" w:eastAsia="仿宋_GB2312"/>
          <w:kern w:val="0"/>
          <w:sz w:val="32"/>
          <w:szCs w:val="32"/>
        </w:rPr>
        <w:t>诊断结合流行病史、临床表现、影象学特征和实验室检查（相关化验、血清学检专、病原学检查）结果综合诊断。上述四病按照近年我国传染病和寄生虫病诊断指南（试行）的要求标准加以确定。</w:t>
      </w:r>
    </w:p>
    <w:p w14:paraId="02F7C779">
      <w:pPr>
        <w:overflowPunct w:val="0"/>
        <w:autoSpaceDE w:val="0"/>
        <w:autoSpaceDN w:val="0"/>
        <w:adjustRightInd w:val="0"/>
        <w:snapToGrid w:val="0"/>
        <w:spacing w:line="570" w:lineRule="exact"/>
        <w:ind w:firstLine="630" w:firstLineChars="197"/>
        <w:rPr>
          <w:rFonts w:ascii="楷体_GB2312" w:hAnsi="Times New Roman" w:eastAsia="楷体_GB2312"/>
          <w:bCs/>
          <w:sz w:val="32"/>
          <w:szCs w:val="32"/>
        </w:rPr>
      </w:pPr>
      <w:r>
        <w:rPr>
          <w:rFonts w:hint="eastAsia" w:ascii="楷体_GB2312" w:hAnsi="Times New Roman" w:eastAsia="楷体_GB2312"/>
          <w:bCs/>
          <w:sz w:val="32"/>
          <w:szCs w:val="32"/>
        </w:rPr>
        <w:t>（三）门诊诊疗范围</w:t>
      </w:r>
    </w:p>
    <w:p w14:paraId="4C4B3EBC">
      <w:pPr>
        <w:overflowPunct w:val="0"/>
        <w:autoSpaceDE w:val="0"/>
        <w:autoSpaceDN w:val="0"/>
        <w:adjustRightInd w:val="0"/>
        <w:snapToGrid w:val="0"/>
        <w:spacing w:line="570" w:lineRule="exact"/>
        <w:rPr>
          <w:rFonts w:ascii="仿宋_GB2312" w:hAnsi="Times New Roman" w:eastAsia="仿宋_GB2312"/>
          <w:kern w:val="0"/>
          <w:sz w:val="32"/>
          <w:szCs w:val="32"/>
        </w:rPr>
      </w:pPr>
      <w:r>
        <w:rPr>
          <w:rFonts w:hint="eastAsia" w:ascii="仿宋_GB2312" w:hAnsi="Times New Roman" w:eastAsia="仿宋_GB2312"/>
          <w:kern w:val="0"/>
          <w:sz w:val="32"/>
          <w:szCs w:val="32"/>
        </w:rPr>
        <w:t xml:space="preserve">    1.针对病因，选用相关药物治疗；</w:t>
      </w:r>
    </w:p>
    <w:p w14:paraId="78DA90D5">
      <w:pPr>
        <w:overflowPunct w:val="0"/>
        <w:autoSpaceDE w:val="0"/>
        <w:autoSpaceDN w:val="0"/>
        <w:adjustRightInd w:val="0"/>
        <w:snapToGrid w:val="0"/>
        <w:spacing w:line="570" w:lineRule="exact"/>
        <w:rPr>
          <w:rFonts w:ascii="仿宋_GB2312" w:hAnsi="Times New Roman" w:eastAsia="仿宋_GB2312"/>
          <w:kern w:val="0"/>
          <w:sz w:val="32"/>
          <w:szCs w:val="32"/>
        </w:rPr>
      </w:pPr>
      <w:r>
        <w:rPr>
          <w:rFonts w:hint="eastAsia" w:ascii="仿宋_GB2312" w:hAnsi="Times New Roman" w:eastAsia="仿宋_GB2312"/>
          <w:kern w:val="0"/>
          <w:sz w:val="32"/>
          <w:szCs w:val="32"/>
        </w:rPr>
        <w:t xml:space="preserve">    2.急性期治疗，局部和全身并发症的治疗；</w:t>
      </w:r>
    </w:p>
    <w:p w14:paraId="74E9E0E7">
      <w:pPr>
        <w:overflowPunct w:val="0"/>
        <w:autoSpaceDE w:val="0"/>
        <w:autoSpaceDN w:val="0"/>
        <w:adjustRightInd w:val="0"/>
        <w:snapToGrid w:val="0"/>
        <w:spacing w:line="570" w:lineRule="exact"/>
        <w:rPr>
          <w:rFonts w:ascii="仿宋_GB2312" w:hAnsi="Times New Roman" w:eastAsia="仿宋_GB2312"/>
          <w:kern w:val="0"/>
          <w:sz w:val="32"/>
          <w:szCs w:val="32"/>
        </w:rPr>
      </w:pPr>
      <w:r>
        <w:rPr>
          <w:rFonts w:hint="eastAsia" w:ascii="仿宋_GB2312" w:hAnsi="Times New Roman" w:eastAsia="仿宋_GB2312"/>
          <w:kern w:val="0"/>
          <w:sz w:val="32"/>
          <w:szCs w:val="32"/>
        </w:rPr>
        <w:t xml:space="preserve">    3.治疗期间和治疗后的相关检查。</w:t>
      </w:r>
    </w:p>
    <w:p w14:paraId="3EE31190">
      <w:pPr>
        <w:overflowPunct w:val="0"/>
        <w:autoSpaceDE w:val="0"/>
        <w:autoSpaceDN w:val="0"/>
        <w:adjustRightInd w:val="0"/>
        <w:snapToGrid w:val="0"/>
        <w:spacing w:line="570" w:lineRule="exact"/>
        <w:ind w:firstLine="630" w:firstLineChars="197"/>
        <w:rPr>
          <w:rFonts w:ascii="楷体_GB2312" w:hAnsi="Times New Roman" w:eastAsia="楷体_GB2312"/>
          <w:bCs/>
          <w:sz w:val="32"/>
          <w:szCs w:val="32"/>
        </w:rPr>
      </w:pPr>
      <w:r>
        <w:rPr>
          <w:rFonts w:hint="eastAsia" w:ascii="楷体_GB2312" w:hAnsi="Times New Roman" w:eastAsia="楷体_GB2312"/>
          <w:bCs/>
          <w:sz w:val="32"/>
          <w:szCs w:val="32"/>
        </w:rPr>
        <w:t>（四）复审期限</w:t>
      </w:r>
    </w:p>
    <w:p w14:paraId="67DF0C49">
      <w:pPr>
        <w:overflowPunct w:val="0"/>
        <w:autoSpaceDE w:val="0"/>
        <w:autoSpaceDN w:val="0"/>
        <w:adjustRightInd w:val="0"/>
        <w:snapToGrid w:val="0"/>
        <w:spacing w:line="570" w:lineRule="exact"/>
        <w:rPr>
          <w:rFonts w:ascii="仿宋_GB2312" w:hAnsi="Times New Roman" w:eastAsia="仿宋_GB2312"/>
          <w:bCs/>
          <w:sz w:val="32"/>
          <w:szCs w:val="32"/>
        </w:rPr>
      </w:pPr>
      <w:r>
        <w:rPr>
          <w:rFonts w:hint="eastAsia" w:ascii="仿宋_GB2312" w:hAnsi="Times New Roman" w:eastAsia="仿宋_GB2312"/>
          <w:kern w:val="0"/>
          <w:sz w:val="32"/>
          <w:szCs w:val="32"/>
        </w:rPr>
        <w:t xml:space="preserve">    每3年复审一次。</w:t>
      </w:r>
    </w:p>
    <w:p w14:paraId="3978D0BB">
      <w:pPr>
        <w:pStyle w:val="12"/>
        <w:widowControl w:val="0"/>
        <w:overflowPunct w:val="0"/>
        <w:autoSpaceDE w:val="0"/>
        <w:autoSpaceDN w:val="0"/>
        <w:adjustRightInd w:val="0"/>
        <w:snapToGrid w:val="0"/>
        <w:spacing w:line="570" w:lineRule="exact"/>
        <w:jc w:val="both"/>
        <w:rPr>
          <w:rFonts w:ascii="黑体" w:hAnsi="黑体" w:eastAsia="黑体"/>
          <w:b/>
          <w:bCs/>
          <w:sz w:val="32"/>
          <w:szCs w:val="32"/>
        </w:rPr>
      </w:pPr>
      <w:r>
        <w:rPr>
          <w:rFonts w:hint="eastAsia" w:ascii="仿宋_GB2312" w:hAnsi="Times New Roman" w:eastAsia="仿宋_GB2312"/>
          <w:bCs/>
          <w:sz w:val="32"/>
          <w:szCs w:val="32"/>
        </w:rPr>
        <w:t xml:space="preserve">  </w:t>
      </w:r>
      <w:r>
        <w:rPr>
          <w:rFonts w:hint="eastAsia" w:ascii="黑体" w:hAnsi="黑体" w:eastAsia="黑体"/>
          <w:bCs/>
          <w:sz w:val="32"/>
          <w:szCs w:val="32"/>
        </w:rPr>
        <w:t xml:space="preserve"> </w:t>
      </w:r>
      <w:r>
        <w:rPr>
          <w:rFonts w:hint="eastAsia" w:ascii="黑体" w:hAnsi="黑体" w:eastAsia="黑体"/>
          <w:sz w:val="32"/>
          <w:szCs w:val="32"/>
        </w:rPr>
        <w:t>三十九、砷中毒</w:t>
      </w:r>
    </w:p>
    <w:p w14:paraId="08772472">
      <w:pPr>
        <w:overflowPunct w:val="0"/>
        <w:autoSpaceDE w:val="0"/>
        <w:autoSpaceDN w:val="0"/>
        <w:adjustRightInd w:val="0"/>
        <w:snapToGrid w:val="0"/>
        <w:spacing w:line="570" w:lineRule="exact"/>
        <w:ind w:firstLine="640"/>
        <w:rPr>
          <w:rFonts w:ascii="楷体_GB2312" w:hAnsi="Times New Roman" w:eastAsia="楷体_GB2312"/>
          <w:bCs/>
          <w:sz w:val="32"/>
          <w:szCs w:val="32"/>
        </w:rPr>
      </w:pPr>
      <w:r>
        <w:rPr>
          <w:rFonts w:hint="eastAsia" w:ascii="楷体_GB2312" w:hAnsi="Times New Roman" w:eastAsia="楷体_GB2312"/>
          <w:bCs/>
          <w:sz w:val="32"/>
          <w:szCs w:val="32"/>
        </w:rPr>
        <w:t>（一）申报资料</w:t>
      </w:r>
    </w:p>
    <w:p w14:paraId="6E811D4C">
      <w:pPr>
        <w:overflowPunct w:val="0"/>
        <w:autoSpaceDE w:val="0"/>
        <w:autoSpaceDN w:val="0"/>
        <w:adjustRightInd w:val="0"/>
        <w:snapToGrid w:val="0"/>
        <w:spacing w:line="570" w:lineRule="exact"/>
        <w:rPr>
          <w:rFonts w:ascii="仿宋_GB2312" w:hAnsi="Times New Roman" w:eastAsia="仿宋_GB2312"/>
          <w:sz w:val="32"/>
          <w:szCs w:val="32"/>
        </w:rPr>
      </w:pPr>
      <w:r>
        <w:rPr>
          <w:rFonts w:hint="eastAsia" w:ascii="仿宋_GB2312" w:hAnsi="Times New Roman" w:eastAsia="仿宋_GB2312"/>
          <w:sz w:val="32"/>
          <w:szCs w:val="32"/>
        </w:rPr>
        <w:t xml:space="preserve">    1.在二级以上</w:t>
      </w:r>
      <w:r>
        <w:rPr>
          <w:rFonts w:hint="eastAsia" w:ascii="仿宋_GB2312" w:hAnsi="Times New Roman" w:eastAsia="仿宋_GB2312"/>
          <w:kern w:val="0"/>
          <w:sz w:val="32"/>
          <w:szCs w:val="32"/>
        </w:rPr>
        <w:t>医保定点医疗机构</w:t>
      </w:r>
      <w:r>
        <w:rPr>
          <w:rFonts w:hint="eastAsia" w:ascii="仿宋_GB2312" w:hAnsi="Times New Roman" w:eastAsia="仿宋_GB2312"/>
          <w:sz w:val="32"/>
          <w:szCs w:val="32"/>
        </w:rPr>
        <w:t>就诊的住院或门诊病历；</w:t>
      </w:r>
    </w:p>
    <w:p w14:paraId="3568C54A">
      <w:pPr>
        <w:overflowPunct w:val="0"/>
        <w:autoSpaceDE w:val="0"/>
        <w:autoSpaceDN w:val="0"/>
        <w:adjustRightInd w:val="0"/>
        <w:snapToGrid w:val="0"/>
        <w:spacing w:line="570" w:lineRule="exact"/>
        <w:rPr>
          <w:rFonts w:ascii="仿宋_GB2312" w:hAnsi="Times New Roman" w:eastAsia="仿宋_GB2312"/>
          <w:sz w:val="32"/>
          <w:szCs w:val="32"/>
        </w:rPr>
      </w:pPr>
      <w:r>
        <w:rPr>
          <w:rFonts w:hint="eastAsia" w:ascii="仿宋_GB2312" w:hAnsi="Times New Roman" w:eastAsia="仿宋_GB2312"/>
          <w:sz w:val="32"/>
          <w:szCs w:val="32"/>
        </w:rPr>
        <w:t xml:space="preserve">    2.二级以上</w:t>
      </w:r>
      <w:r>
        <w:rPr>
          <w:rFonts w:hint="eastAsia" w:ascii="仿宋_GB2312" w:hAnsi="Times New Roman" w:eastAsia="仿宋_GB2312"/>
          <w:kern w:val="0"/>
          <w:sz w:val="32"/>
          <w:szCs w:val="32"/>
        </w:rPr>
        <w:t>医保定点医疗机构</w:t>
      </w:r>
      <w:r>
        <w:rPr>
          <w:rFonts w:hint="eastAsia" w:ascii="仿宋_GB2312" w:hAnsi="Times New Roman" w:eastAsia="仿宋_GB2312"/>
          <w:sz w:val="32"/>
          <w:szCs w:val="32"/>
        </w:rPr>
        <w:t>主治医师及以上专科医师出具的有效诊断证明、诊疗计划。</w:t>
      </w:r>
    </w:p>
    <w:p w14:paraId="0CEEF931">
      <w:pPr>
        <w:overflowPunct w:val="0"/>
        <w:autoSpaceDE w:val="0"/>
        <w:autoSpaceDN w:val="0"/>
        <w:adjustRightInd w:val="0"/>
        <w:snapToGrid w:val="0"/>
        <w:spacing w:line="570" w:lineRule="exact"/>
        <w:rPr>
          <w:rFonts w:ascii="仿宋_GB2312" w:hAnsi="Times New Roman" w:eastAsia="仿宋_GB2312"/>
          <w:bCs/>
          <w:sz w:val="32"/>
          <w:szCs w:val="32"/>
        </w:rPr>
      </w:pPr>
      <w:r>
        <w:rPr>
          <w:rFonts w:hint="eastAsia" w:ascii="仿宋_GB2312" w:hAnsi="Times New Roman" w:eastAsia="仿宋_GB2312"/>
          <w:bCs/>
          <w:sz w:val="32"/>
          <w:szCs w:val="32"/>
        </w:rPr>
        <w:t xml:space="preserve">    </w:t>
      </w:r>
      <w:r>
        <w:rPr>
          <w:rFonts w:hint="eastAsia" w:ascii="楷体_GB2312" w:hAnsi="Times New Roman" w:eastAsia="楷体_GB2312"/>
          <w:bCs/>
          <w:sz w:val="32"/>
          <w:szCs w:val="32"/>
        </w:rPr>
        <w:t>（二）治疗指征（认定标准）</w:t>
      </w:r>
    </w:p>
    <w:p w14:paraId="0D4D505B">
      <w:pPr>
        <w:overflowPunct w:val="0"/>
        <w:autoSpaceDE w:val="0"/>
        <w:autoSpaceDN w:val="0"/>
        <w:adjustRightInd w:val="0"/>
        <w:snapToGrid w:val="0"/>
        <w:spacing w:line="570" w:lineRule="exact"/>
        <w:rPr>
          <w:rFonts w:ascii="仿宋_GB2312" w:hAnsi="Times New Roman" w:eastAsia="仿宋_GB2312"/>
          <w:kern w:val="0"/>
          <w:sz w:val="32"/>
          <w:szCs w:val="32"/>
        </w:rPr>
      </w:pPr>
      <w:r>
        <w:rPr>
          <w:rFonts w:hint="eastAsia" w:ascii="仿宋_GB2312" w:hAnsi="Times New Roman" w:eastAsia="仿宋_GB2312"/>
          <w:kern w:val="0"/>
          <w:sz w:val="32"/>
          <w:szCs w:val="32"/>
        </w:rPr>
        <w:t xml:space="preserve">    1.有砷化物的接触史； </w:t>
      </w:r>
    </w:p>
    <w:p w14:paraId="52693ECC">
      <w:pPr>
        <w:overflowPunct w:val="0"/>
        <w:autoSpaceDE w:val="0"/>
        <w:autoSpaceDN w:val="0"/>
        <w:adjustRightInd w:val="0"/>
        <w:snapToGrid w:val="0"/>
        <w:spacing w:line="570" w:lineRule="exact"/>
        <w:rPr>
          <w:rFonts w:ascii="仿宋_GB2312" w:hAnsi="Times New Roman" w:eastAsia="仿宋_GB2312"/>
          <w:kern w:val="0"/>
          <w:sz w:val="32"/>
          <w:szCs w:val="32"/>
        </w:rPr>
      </w:pPr>
      <w:r>
        <w:rPr>
          <w:rFonts w:hint="eastAsia" w:ascii="仿宋_GB2312" w:hAnsi="Times New Roman" w:eastAsia="仿宋_GB2312"/>
          <w:kern w:val="0"/>
          <w:sz w:val="32"/>
          <w:szCs w:val="32"/>
        </w:rPr>
        <w:t xml:space="preserve">    2.临床表现：恶心、呕吐、腹痛、腹泻、血尿、少尿、肾衰，严重中毒者可见中毒性脑病症状，肝损害，可出现黄疸，肝脾肿大，甚至肾衰，慢性砷中毒可见皮肤麻痹，皮炎，结膜炎。</w:t>
      </w:r>
    </w:p>
    <w:p w14:paraId="06E04BA3">
      <w:pPr>
        <w:overflowPunct w:val="0"/>
        <w:autoSpaceDE w:val="0"/>
        <w:autoSpaceDN w:val="0"/>
        <w:adjustRightInd w:val="0"/>
        <w:snapToGrid w:val="0"/>
        <w:spacing w:line="570" w:lineRule="exact"/>
        <w:rPr>
          <w:rFonts w:ascii="仿宋_GB2312" w:hAnsi="Times New Roman" w:eastAsia="仿宋_GB2312"/>
          <w:b/>
          <w:bCs/>
          <w:sz w:val="32"/>
          <w:szCs w:val="32"/>
        </w:rPr>
      </w:pPr>
      <w:r>
        <w:rPr>
          <w:rFonts w:hint="eastAsia" w:ascii="仿宋_GB2312" w:hAnsi="Times New Roman" w:eastAsia="仿宋_GB2312"/>
          <w:bCs/>
          <w:sz w:val="32"/>
          <w:szCs w:val="32"/>
        </w:rPr>
        <w:t xml:space="preserve">    </w:t>
      </w:r>
      <w:r>
        <w:rPr>
          <w:rFonts w:hint="eastAsia" w:ascii="楷体_GB2312" w:hAnsi="Times New Roman" w:eastAsia="楷体_GB2312"/>
          <w:bCs/>
          <w:sz w:val="32"/>
          <w:szCs w:val="32"/>
        </w:rPr>
        <w:t>（三）门诊诊疗范围</w:t>
      </w:r>
    </w:p>
    <w:p w14:paraId="7812B86F">
      <w:pPr>
        <w:overflowPunct w:val="0"/>
        <w:autoSpaceDE w:val="0"/>
        <w:autoSpaceDN w:val="0"/>
        <w:adjustRightInd w:val="0"/>
        <w:snapToGrid w:val="0"/>
        <w:spacing w:line="570" w:lineRule="exact"/>
        <w:rPr>
          <w:rFonts w:ascii="仿宋_GB2312" w:hAnsi="Times New Roman" w:eastAsia="仿宋_GB2312"/>
          <w:kern w:val="0"/>
          <w:sz w:val="32"/>
          <w:szCs w:val="32"/>
        </w:rPr>
      </w:pPr>
      <w:r>
        <w:rPr>
          <w:rFonts w:hint="eastAsia" w:ascii="仿宋_GB2312" w:hAnsi="Times New Roman" w:eastAsia="仿宋_GB2312"/>
          <w:kern w:val="0"/>
          <w:sz w:val="32"/>
          <w:szCs w:val="32"/>
        </w:rPr>
        <w:t xml:space="preserve">    1.针对病因，选用相关药物治疗；</w:t>
      </w:r>
    </w:p>
    <w:p w14:paraId="41781D95">
      <w:pPr>
        <w:overflowPunct w:val="0"/>
        <w:autoSpaceDE w:val="0"/>
        <w:autoSpaceDN w:val="0"/>
        <w:adjustRightInd w:val="0"/>
        <w:snapToGrid w:val="0"/>
        <w:spacing w:line="570" w:lineRule="exact"/>
        <w:ind w:firstLine="640" w:firstLineChars="200"/>
        <w:rPr>
          <w:rFonts w:ascii="仿宋_GB2312" w:hAnsi="Times New Roman" w:eastAsia="仿宋_GB2312"/>
          <w:kern w:val="0"/>
          <w:sz w:val="32"/>
          <w:szCs w:val="32"/>
        </w:rPr>
      </w:pPr>
      <w:r>
        <w:rPr>
          <w:rFonts w:hint="eastAsia" w:ascii="仿宋_GB2312" w:hAnsi="Times New Roman" w:eastAsia="仿宋_GB2312"/>
          <w:kern w:val="0"/>
          <w:sz w:val="32"/>
          <w:szCs w:val="32"/>
        </w:rPr>
        <w:t>2.局部和全身并发症的治疗；</w:t>
      </w:r>
    </w:p>
    <w:p w14:paraId="5258AB46">
      <w:pPr>
        <w:overflowPunct w:val="0"/>
        <w:autoSpaceDE w:val="0"/>
        <w:autoSpaceDN w:val="0"/>
        <w:adjustRightInd w:val="0"/>
        <w:snapToGrid w:val="0"/>
        <w:spacing w:line="570" w:lineRule="exact"/>
        <w:ind w:firstLine="640" w:firstLineChars="200"/>
        <w:rPr>
          <w:rFonts w:ascii="仿宋_GB2312" w:hAnsi="Times New Roman" w:eastAsia="仿宋_GB2312"/>
          <w:kern w:val="0"/>
          <w:sz w:val="32"/>
          <w:szCs w:val="32"/>
        </w:rPr>
      </w:pPr>
      <w:r>
        <w:rPr>
          <w:rFonts w:hint="eastAsia" w:ascii="仿宋_GB2312" w:hAnsi="Times New Roman" w:eastAsia="仿宋_GB2312"/>
          <w:kern w:val="0"/>
          <w:sz w:val="32"/>
          <w:szCs w:val="32"/>
        </w:rPr>
        <w:t>3.治疗期间和治疗后的相关检查。</w:t>
      </w:r>
    </w:p>
    <w:p w14:paraId="7EA68B49">
      <w:pPr>
        <w:overflowPunct w:val="0"/>
        <w:autoSpaceDE w:val="0"/>
        <w:autoSpaceDN w:val="0"/>
        <w:adjustRightInd w:val="0"/>
        <w:snapToGrid w:val="0"/>
        <w:spacing w:line="570" w:lineRule="exact"/>
        <w:rPr>
          <w:rFonts w:ascii="仿宋_GB2312" w:hAnsi="Times New Roman" w:eastAsia="仿宋_GB2312"/>
          <w:bCs/>
          <w:sz w:val="32"/>
          <w:szCs w:val="32"/>
        </w:rPr>
      </w:pPr>
      <w:r>
        <w:rPr>
          <w:rFonts w:hint="eastAsia" w:ascii="仿宋_GB2312" w:hAnsi="Times New Roman" w:eastAsia="仿宋_GB2312"/>
          <w:bCs/>
          <w:sz w:val="32"/>
          <w:szCs w:val="32"/>
        </w:rPr>
        <w:t xml:space="preserve">    </w:t>
      </w:r>
      <w:r>
        <w:rPr>
          <w:rFonts w:hint="eastAsia" w:ascii="楷体_GB2312" w:hAnsi="Times New Roman" w:eastAsia="楷体_GB2312"/>
          <w:bCs/>
          <w:sz w:val="32"/>
          <w:szCs w:val="32"/>
        </w:rPr>
        <w:t>（四）复审期限</w:t>
      </w:r>
    </w:p>
    <w:p w14:paraId="24E86D03">
      <w:pPr>
        <w:pStyle w:val="12"/>
        <w:widowControl w:val="0"/>
        <w:overflowPunct w:val="0"/>
        <w:autoSpaceDE w:val="0"/>
        <w:autoSpaceDN w:val="0"/>
        <w:adjustRightInd w:val="0"/>
        <w:snapToGrid w:val="0"/>
        <w:spacing w:line="570" w:lineRule="exact"/>
        <w:ind w:firstLine="0"/>
        <w:jc w:val="both"/>
        <w:rPr>
          <w:rFonts w:ascii="仿宋_GB2312" w:hAnsi="Times New Roman" w:eastAsia="仿宋_GB2312"/>
          <w:sz w:val="32"/>
          <w:szCs w:val="32"/>
        </w:rPr>
      </w:pPr>
      <w:r>
        <w:rPr>
          <w:rFonts w:hint="eastAsia" w:ascii="仿宋_GB2312" w:hAnsi="Times New Roman" w:eastAsia="仿宋_GB2312"/>
          <w:bCs/>
          <w:sz w:val="32"/>
          <w:szCs w:val="32"/>
        </w:rPr>
        <w:t xml:space="preserve">    </w:t>
      </w:r>
      <w:r>
        <w:rPr>
          <w:rFonts w:hint="eastAsia" w:ascii="仿宋_GB2312" w:hAnsi="Times New Roman" w:eastAsia="仿宋_GB2312"/>
          <w:sz w:val="32"/>
          <w:szCs w:val="32"/>
        </w:rPr>
        <w:t>每3年复审一次。</w:t>
      </w:r>
    </w:p>
    <w:p w14:paraId="3AD4E52C">
      <w:pPr>
        <w:overflowPunct w:val="0"/>
        <w:autoSpaceDE w:val="0"/>
        <w:autoSpaceDN w:val="0"/>
        <w:adjustRightInd w:val="0"/>
        <w:snapToGrid w:val="0"/>
        <w:spacing w:line="570" w:lineRule="exact"/>
        <w:ind w:firstLine="640"/>
        <w:rPr>
          <w:rFonts w:ascii="黑体" w:hAnsi="黑体" w:eastAsia="黑体"/>
          <w:sz w:val="32"/>
          <w:szCs w:val="32"/>
        </w:rPr>
      </w:pPr>
      <w:r>
        <w:rPr>
          <w:rFonts w:hint="eastAsia" w:ascii="黑体" w:hAnsi="黑体" w:eastAsia="黑体"/>
          <w:sz w:val="32"/>
          <w:szCs w:val="32"/>
        </w:rPr>
        <w:t>四十、女性盆腔炎</w:t>
      </w:r>
    </w:p>
    <w:p w14:paraId="01D6AD01">
      <w:pPr>
        <w:overflowPunct w:val="0"/>
        <w:autoSpaceDE w:val="0"/>
        <w:autoSpaceDN w:val="0"/>
        <w:adjustRightInd w:val="0"/>
        <w:snapToGrid w:val="0"/>
        <w:spacing w:line="570" w:lineRule="exact"/>
        <w:ind w:firstLine="630" w:firstLineChars="197"/>
        <w:rPr>
          <w:rFonts w:ascii="楷体_GB2312" w:hAnsi="Times New Roman" w:eastAsia="楷体_GB2312"/>
          <w:bCs/>
          <w:sz w:val="32"/>
          <w:szCs w:val="32"/>
        </w:rPr>
      </w:pPr>
      <w:r>
        <w:rPr>
          <w:rFonts w:hint="eastAsia" w:ascii="楷体_GB2312" w:hAnsi="Times New Roman" w:eastAsia="楷体_GB2312"/>
          <w:bCs/>
          <w:sz w:val="32"/>
          <w:szCs w:val="32"/>
        </w:rPr>
        <w:t>（一）申报资料</w:t>
      </w:r>
    </w:p>
    <w:p w14:paraId="21C9855B">
      <w:pPr>
        <w:overflowPunct w:val="0"/>
        <w:autoSpaceDE w:val="0"/>
        <w:autoSpaceDN w:val="0"/>
        <w:adjustRightInd w:val="0"/>
        <w:snapToGrid w:val="0"/>
        <w:spacing w:line="570" w:lineRule="exact"/>
        <w:ind w:firstLine="640" w:firstLineChars="200"/>
        <w:rPr>
          <w:rFonts w:ascii="仿宋_GB2312" w:hAnsi="Times New Roman" w:eastAsia="仿宋_GB2312"/>
          <w:kern w:val="0"/>
          <w:sz w:val="32"/>
          <w:szCs w:val="32"/>
        </w:rPr>
      </w:pPr>
      <w:r>
        <w:rPr>
          <w:rFonts w:hint="eastAsia" w:ascii="仿宋_GB2312" w:hAnsi="Times New Roman" w:eastAsia="仿宋_GB2312"/>
          <w:kern w:val="0"/>
          <w:sz w:val="32"/>
          <w:szCs w:val="32"/>
        </w:rPr>
        <w:t>1.提供近3个月二级以上</w:t>
      </w:r>
      <w:r>
        <w:rPr>
          <w:rFonts w:hint="eastAsia" w:ascii="仿宋_GB2312" w:hAnsi="Times New Roman" w:eastAsia="仿宋_GB2312"/>
          <w:sz w:val="32"/>
          <w:szCs w:val="32"/>
        </w:rPr>
        <w:t>医保定点医疗机构</w:t>
      </w:r>
      <w:r>
        <w:rPr>
          <w:rFonts w:hint="eastAsia" w:ascii="仿宋_GB2312" w:hAnsi="Times New Roman" w:eastAsia="仿宋_GB2312"/>
          <w:kern w:val="0"/>
          <w:sz w:val="32"/>
          <w:szCs w:val="32"/>
        </w:rPr>
        <w:t>就诊的住院或门诊病历；</w:t>
      </w:r>
    </w:p>
    <w:p w14:paraId="701C141D">
      <w:pPr>
        <w:overflowPunct w:val="0"/>
        <w:autoSpaceDE w:val="0"/>
        <w:autoSpaceDN w:val="0"/>
        <w:adjustRightInd w:val="0"/>
        <w:snapToGrid w:val="0"/>
        <w:spacing w:line="570" w:lineRule="exact"/>
        <w:ind w:firstLine="640" w:firstLineChars="200"/>
        <w:rPr>
          <w:rFonts w:ascii="仿宋_GB2312" w:hAnsi="Times New Roman" w:eastAsia="仿宋_GB2312"/>
          <w:kern w:val="0"/>
          <w:sz w:val="32"/>
          <w:szCs w:val="32"/>
        </w:rPr>
      </w:pPr>
      <w:r>
        <w:rPr>
          <w:rFonts w:hint="eastAsia" w:ascii="仿宋_GB2312" w:hAnsi="Times New Roman" w:eastAsia="仿宋_GB2312"/>
          <w:kern w:val="0"/>
          <w:sz w:val="32"/>
          <w:szCs w:val="32"/>
        </w:rPr>
        <w:t>2.相关的临床资料，包括病史、症状、体征等；</w:t>
      </w:r>
    </w:p>
    <w:p w14:paraId="4E905993">
      <w:pPr>
        <w:overflowPunct w:val="0"/>
        <w:autoSpaceDE w:val="0"/>
        <w:autoSpaceDN w:val="0"/>
        <w:adjustRightInd w:val="0"/>
        <w:snapToGrid w:val="0"/>
        <w:spacing w:line="570" w:lineRule="exact"/>
        <w:ind w:firstLine="640" w:firstLineChars="200"/>
        <w:rPr>
          <w:rFonts w:ascii="仿宋_GB2312" w:hAnsi="Times New Roman" w:eastAsia="仿宋_GB2312"/>
          <w:kern w:val="0"/>
          <w:sz w:val="32"/>
          <w:szCs w:val="32"/>
        </w:rPr>
      </w:pPr>
      <w:r>
        <w:rPr>
          <w:rFonts w:hint="eastAsia" w:ascii="仿宋_GB2312" w:hAnsi="Times New Roman" w:eastAsia="仿宋_GB2312"/>
          <w:kern w:val="0"/>
          <w:sz w:val="32"/>
          <w:szCs w:val="32"/>
        </w:rPr>
        <w:t>3.辅助检查资料：血常规、C反应蛋白、阴道分泌物检查或与性传播感染(sexuauy tranitted infection、STI）相关的病原微生物检测结果（病毒、淋球菌、沙眼支原体和衣原体等）、或子宫内膜活检显示有子宫内膜炎的组织病理学证据、或有腹腔镜手术及经腹手术描述输卵管表面明显充血、输卵管水肿、输卵管伞端或浆膜层有脓性渗出物等或病理检查结果提示有炎性浸润的组织病理学证据；</w:t>
      </w:r>
    </w:p>
    <w:p w14:paraId="461B9611">
      <w:pPr>
        <w:overflowPunct w:val="0"/>
        <w:autoSpaceDE w:val="0"/>
        <w:autoSpaceDN w:val="0"/>
        <w:adjustRightInd w:val="0"/>
        <w:snapToGrid w:val="0"/>
        <w:spacing w:line="570" w:lineRule="exact"/>
        <w:ind w:firstLine="640" w:firstLineChars="200"/>
        <w:rPr>
          <w:rFonts w:ascii="仿宋_GB2312" w:hAnsi="Times New Roman" w:eastAsia="仿宋_GB2312"/>
          <w:kern w:val="0"/>
          <w:sz w:val="32"/>
          <w:szCs w:val="32"/>
        </w:rPr>
      </w:pPr>
      <w:r>
        <w:rPr>
          <w:rFonts w:hint="eastAsia" w:ascii="仿宋_GB2312" w:hAnsi="Times New Roman" w:eastAsia="仿宋_GB2312"/>
          <w:kern w:val="0"/>
          <w:sz w:val="32"/>
          <w:szCs w:val="32"/>
        </w:rPr>
        <w:t>4.影像学资料：经阴道超声检查或MRI检查显示输卵管管壁增厚、管腔积液，可伴有盆腔游离液体或输卵管卵巢包块；</w:t>
      </w:r>
    </w:p>
    <w:p w14:paraId="37875097">
      <w:pPr>
        <w:overflowPunct w:val="0"/>
        <w:autoSpaceDE w:val="0"/>
        <w:autoSpaceDN w:val="0"/>
        <w:adjustRightInd w:val="0"/>
        <w:snapToGrid w:val="0"/>
        <w:spacing w:line="570" w:lineRule="exact"/>
        <w:ind w:firstLine="640" w:firstLineChars="200"/>
        <w:rPr>
          <w:rFonts w:ascii="仿宋_GB2312" w:hAnsi="Times New Roman" w:eastAsia="仿宋_GB2312"/>
          <w:sz w:val="32"/>
          <w:szCs w:val="32"/>
        </w:rPr>
      </w:pPr>
      <w:r>
        <w:rPr>
          <w:rFonts w:hint="eastAsia" w:ascii="仿宋_GB2312" w:hAnsi="Times New Roman" w:eastAsia="仿宋_GB2312"/>
          <w:kern w:val="0"/>
          <w:sz w:val="32"/>
          <w:szCs w:val="32"/>
        </w:rPr>
        <w:t>5.二级以上</w:t>
      </w:r>
      <w:r>
        <w:rPr>
          <w:rFonts w:hint="eastAsia" w:ascii="仿宋_GB2312" w:hAnsi="Times New Roman" w:eastAsia="仿宋_GB2312"/>
          <w:sz w:val="32"/>
          <w:szCs w:val="32"/>
        </w:rPr>
        <w:t>医保定点医疗机构</w:t>
      </w:r>
      <w:r>
        <w:rPr>
          <w:rFonts w:hint="eastAsia" w:ascii="仿宋_GB2312" w:hAnsi="Times New Roman" w:eastAsia="仿宋_GB2312"/>
          <w:kern w:val="0"/>
          <w:sz w:val="32"/>
          <w:szCs w:val="32"/>
        </w:rPr>
        <w:t>主治医师以上（含主治医师）签名的治疗计划。</w:t>
      </w:r>
    </w:p>
    <w:p w14:paraId="0F639A77">
      <w:pPr>
        <w:overflowPunct w:val="0"/>
        <w:autoSpaceDE w:val="0"/>
        <w:autoSpaceDN w:val="0"/>
        <w:adjustRightInd w:val="0"/>
        <w:snapToGrid w:val="0"/>
        <w:spacing w:line="570" w:lineRule="exact"/>
        <w:ind w:firstLine="630" w:firstLineChars="197"/>
        <w:rPr>
          <w:rFonts w:ascii="楷体_GB2312" w:hAnsi="Times New Roman" w:eastAsia="楷体_GB2312"/>
          <w:bCs/>
          <w:sz w:val="32"/>
          <w:szCs w:val="32"/>
        </w:rPr>
      </w:pPr>
      <w:r>
        <w:rPr>
          <w:rFonts w:hint="eastAsia" w:ascii="楷体_GB2312" w:hAnsi="Times New Roman" w:eastAsia="楷体_GB2312"/>
          <w:bCs/>
          <w:sz w:val="32"/>
          <w:szCs w:val="32"/>
        </w:rPr>
        <w:t>（二）治疗指征（认定标准）</w:t>
      </w:r>
    </w:p>
    <w:p w14:paraId="75A551CB">
      <w:pPr>
        <w:overflowPunct w:val="0"/>
        <w:autoSpaceDE w:val="0"/>
        <w:autoSpaceDN w:val="0"/>
        <w:adjustRightInd w:val="0"/>
        <w:snapToGrid w:val="0"/>
        <w:spacing w:line="570" w:lineRule="exact"/>
        <w:ind w:firstLine="640" w:firstLineChars="200"/>
        <w:rPr>
          <w:rFonts w:ascii="仿宋_GB2312" w:hAnsi="Times New Roman" w:eastAsia="仿宋_GB2312"/>
          <w:kern w:val="0"/>
          <w:sz w:val="32"/>
          <w:szCs w:val="32"/>
        </w:rPr>
      </w:pPr>
      <w:r>
        <w:rPr>
          <w:rFonts w:hint="eastAsia" w:ascii="仿宋_GB2312" w:hAnsi="Times New Roman" w:eastAsia="仿宋_GB2312"/>
          <w:kern w:val="0"/>
          <w:sz w:val="32"/>
          <w:szCs w:val="32"/>
        </w:rPr>
        <w:t>1.最低诊断标准：在性活跃期女性及其它存在STI风险者，如排除其他病因且满足以下条件之一者，应诊断PID并给予PID经验性治疗：(1)子宫压痛(2)附件压痛(3)宫颈举痛；</w:t>
      </w:r>
    </w:p>
    <w:p w14:paraId="3EFFF8C2">
      <w:pPr>
        <w:overflowPunct w:val="0"/>
        <w:autoSpaceDE w:val="0"/>
        <w:autoSpaceDN w:val="0"/>
        <w:adjustRightInd w:val="0"/>
        <w:snapToGrid w:val="0"/>
        <w:spacing w:line="570" w:lineRule="exact"/>
        <w:ind w:firstLine="640" w:firstLineChars="200"/>
        <w:rPr>
          <w:rFonts w:ascii="仿宋_GB2312" w:hAnsi="Times New Roman" w:eastAsia="仿宋_GB2312"/>
          <w:kern w:val="0"/>
          <w:sz w:val="32"/>
          <w:szCs w:val="32"/>
        </w:rPr>
      </w:pPr>
      <w:r>
        <w:rPr>
          <w:rFonts w:hint="eastAsia" w:ascii="仿宋_GB2312" w:hAnsi="Times New Roman" w:eastAsia="仿宋_GB2312"/>
          <w:kern w:val="0"/>
          <w:sz w:val="32"/>
          <w:szCs w:val="32"/>
        </w:rPr>
        <w:t>2.附加标准：伴有下列其中一项者：口腔温度≥38．3℃；子宫颈或阴道脓性分泌物；阴道分泌物显微镜检查有白细胞增多；红细胞沉降率升高；C反应蛋白水平升高；实验室检查证实有宫颈淋病奈瑟菌或沙眼衣原体感染；子宫内膜活检显示有子宫内膜炎的组织病理学证据；经阴道超声检查或MRI检查显示输卵管管壁增厚、管腔积液，可伴有盆腔游离液体或输卵管卵巢包块。</w:t>
      </w:r>
    </w:p>
    <w:p w14:paraId="736A1547">
      <w:pPr>
        <w:overflowPunct w:val="0"/>
        <w:autoSpaceDE w:val="0"/>
        <w:autoSpaceDN w:val="0"/>
        <w:adjustRightInd w:val="0"/>
        <w:snapToGrid w:val="0"/>
        <w:spacing w:line="570" w:lineRule="exact"/>
        <w:ind w:firstLine="630" w:firstLineChars="197"/>
        <w:rPr>
          <w:rFonts w:ascii="楷体_GB2312" w:hAnsi="Times New Roman" w:eastAsia="楷体_GB2312"/>
          <w:bCs/>
          <w:sz w:val="32"/>
          <w:szCs w:val="32"/>
        </w:rPr>
      </w:pPr>
      <w:r>
        <w:rPr>
          <w:rFonts w:hint="eastAsia" w:ascii="楷体_GB2312" w:hAnsi="Times New Roman" w:eastAsia="楷体_GB2312"/>
          <w:bCs/>
          <w:sz w:val="32"/>
          <w:szCs w:val="32"/>
        </w:rPr>
        <w:t>（三）门诊诊疗范围</w:t>
      </w:r>
    </w:p>
    <w:p w14:paraId="41B564FC">
      <w:pPr>
        <w:overflowPunct w:val="0"/>
        <w:autoSpaceDE w:val="0"/>
        <w:autoSpaceDN w:val="0"/>
        <w:adjustRightInd w:val="0"/>
        <w:snapToGrid w:val="0"/>
        <w:spacing w:line="570" w:lineRule="exact"/>
        <w:rPr>
          <w:rFonts w:ascii="仿宋_GB2312" w:hAnsi="Times New Roman" w:eastAsia="仿宋_GB2312"/>
          <w:kern w:val="0"/>
          <w:sz w:val="32"/>
          <w:szCs w:val="32"/>
        </w:rPr>
      </w:pPr>
      <w:r>
        <w:rPr>
          <w:rFonts w:hint="eastAsia" w:ascii="仿宋_GB2312" w:hAnsi="Times New Roman" w:eastAsia="仿宋_GB2312"/>
          <w:kern w:val="0"/>
          <w:sz w:val="32"/>
          <w:szCs w:val="32"/>
        </w:rPr>
        <w:t xml:space="preserve">    1.抗菌药物治疗：(1)静脉药物治疗(2)非静脉药物治疗：肌肉注射、口服；</w:t>
      </w:r>
    </w:p>
    <w:p w14:paraId="616BB5EF">
      <w:pPr>
        <w:overflowPunct w:val="0"/>
        <w:autoSpaceDE w:val="0"/>
        <w:autoSpaceDN w:val="0"/>
        <w:adjustRightInd w:val="0"/>
        <w:snapToGrid w:val="0"/>
        <w:spacing w:line="570" w:lineRule="exact"/>
        <w:ind w:firstLine="640" w:firstLineChars="200"/>
        <w:rPr>
          <w:rFonts w:ascii="仿宋_GB2312" w:hAnsi="Times New Roman" w:eastAsia="仿宋_GB2312"/>
          <w:kern w:val="0"/>
          <w:sz w:val="32"/>
          <w:szCs w:val="32"/>
        </w:rPr>
      </w:pPr>
      <w:r>
        <w:rPr>
          <w:rFonts w:hint="eastAsia" w:ascii="仿宋_GB2312" w:hAnsi="Times New Roman" w:eastAsia="仿宋_GB2312"/>
          <w:kern w:val="0"/>
          <w:sz w:val="32"/>
          <w:szCs w:val="32"/>
        </w:rPr>
        <w:t>2.中医、中药及物理治疗。</w:t>
      </w:r>
    </w:p>
    <w:p w14:paraId="513B3BD4">
      <w:pPr>
        <w:overflowPunct w:val="0"/>
        <w:autoSpaceDE w:val="0"/>
        <w:autoSpaceDN w:val="0"/>
        <w:adjustRightInd w:val="0"/>
        <w:snapToGrid w:val="0"/>
        <w:spacing w:line="570" w:lineRule="exact"/>
        <w:ind w:firstLine="640" w:firstLineChars="200"/>
        <w:rPr>
          <w:rFonts w:ascii="仿宋_GB2312" w:hAnsi="Times New Roman" w:eastAsia="仿宋_GB2312"/>
          <w:kern w:val="0"/>
          <w:sz w:val="32"/>
          <w:szCs w:val="32"/>
        </w:rPr>
      </w:pPr>
      <w:r>
        <w:rPr>
          <w:rFonts w:hint="eastAsia" w:ascii="仿宋_GB2312" w:hAnsi="Times New Roman" w:eastAsia="仿宋_GB2312"/>
          <w:kern w:val="0"/>
          <w:sz w:val="32"/>
          <w:szCs w:val="32"/>
        </w:rPr>
        <w:t xml:space="preserve">备注：妊娠期和哺乳期妇女禁用四环素类及喹诺酮类药物；物理治疗应注意禁忌证：1.月经期及孕期；2.生殖器官恶性肿瘤；3.伴有出血；4.心肝肾功能不全等内科合并症；5.活动性结核；6.高热；7.过敏性体质等情况均不宜物理治疗。 </w:t>
      </w:r>
    </w:p>
    <w:p w14:paraId="542C519C">
      <w:pPr>
        <w:overflowPunct w:val="0"/>
        <w:autoSpaceDE w:val="0"/>
        <w:autoSpaceDN w:val="0"/>
        <w:adjustRightInd w:val="0"/>
        <w:snapToGrid w:val="0"/>
        <w:spacing w:line="570" w:lineRule="exact"/>
        <w:ind w:firstLine="630" w:firstLineChars="197"/>
        <w:rPr>
          <w:rFonts w:ascii="楷体_GB2312" w:hAnsi="Times New Roman" w:eastAsia="楷体_GB2312"/>
          <w:bCs/>
          <w:sz w:val="32"/>
          <w:szCs w:val="32"/>
        </w:rPr>
      </w:pPr>
      <w:r>
        <w:rPr>
          <w:rFonts w:hint="eastAsia" w:ascii="楷体_GB2312" w:hAnsi="Times New Roman" w:eastAsia="楷体_GB2312"/>
          <w:bCs/>
          <w:sz w:val="32"/>
          <w:szCs w:val="32"/>
        </w:rPr>
        <w:t>（四）复审期限</w:t>
      </w:r>
    </w:p>
    <w:p w14:paraId="64CF6622">
      <w:pPr>
        <w:pStyle w:val="12"/>
        <w:widowControl w:val="0"/>
        <w:overflowPunct w:val="0"/>
        <w:autoSpaceDE w:val="0"/>
        <w:autoSpaceDN w:val="0"/>
        <w:adjustRightInd w:val="0"/>
        <w:snapToGrid w:val="0"/>
        <w:spacing w:line="570" w:lineRule="exact"/>
        <w:jc w:val="both"/>
        <w:rPr>
          <w:rFonts w:ascii="仿宋_GB2312" w:hAnsi="Times New Roman" w:eastAsia="仿宋_GB2312"/>
          <w:bCs/>
          <w:sz w:val="32"/>
          <w:szCs w:val="32"/>
          <w:highlight w:val="green"/>
        </w:rPr>
      </w:pPr>
      <w:r>
        <w:rPr>
          <w:rFonts w:hint="eastAsia" w:ascii="仿宋_GB2312" w:hAnsi="Times New Roman" w:eastAsia="仿宋_GB2312"/>
          <w:bCs/>
          <w:sz w:val="32"/>
          <w:szCs w:val="32"/>
        </w:rPr>
        <w:t xml:space="preserve">   每2年复审一次。</w:t>
      </w:r>
    </w:p>
    <w:p w14:paraId="64431424">
      <w:pPr>
        <w:overflowPunct w:val="0"/>
        <w:autoSpaceDE w:val="0"/>
        <w:autoSpaceDN w:val="0"/>
        <w:adjustRightInd w:val="0"/>
        <w:snapToGrid w:val="0"/>
        <w:spacing w:line="570" w:lineRule="exact"/>
        <w:ind w:firstLine="640" w:firstLineChars="200"/>
        <w:rPr>
          <w:rFonts w:ascii="黑体" w:hAnsi="黑体" w:eastAsia="黑体"/>
          <w:sz w:val="32"/>
          <w:szCs w:val="32"/>
        </w:rPr>
      </w:pPr>
      <w:r>
        <w:rPr>
          <w:rFonts w:hint="eastAsia" w:ascii="黑体" w:hAnsi="黑体" w:eastAsia="黑体"/>
          <w:sz w:val="32"/>
          <w:szCs w:val="32"/>
        </w:rPr>
        <w:t>四十一、系统性红斑狼疮、系统性红斑狼疮伴并发症</w:t>
      </w:r>
    </w:p>
    <w:p w14:paraId="161078D5">
      <w:pPr>
        <w:overflowPunct w:val="0"/>
        <w:autoSpaceDE w:val="0"/>
        <w:autoSpaceDN w:val="0"/>
        <w:adjustRightInd w:val="0"/>
        <w:snapToGrid w:val="0"/>
        <w:spacing w:line="570" w:lineRule="exact"/>
        <w:ind w:firstLine="630" w:firstLineChars="197"/>
        <w:rPr>
          <w:rFonts w:ascii="仿宋_GB2312" w:hAnsi="Times New Roman" w:eastAsia="仿宋_GB2312"/>
          <w:bCs/>
          <w:sz w:val="32"/>
          <w:szCs w:val="32"/>
        </w:rPr>
      </w:pPr>
      <w:r>
        <w:rPr>
          <w:rFonts w:hint="eastAsia" w:ascii="楷体_GB2312" w:hAnsi="Times New Roman" w:eastAsia="楷体_GB2312"/>
          <w:bCs/>
          <w:sz w:val="32"/>
          <w:szCs w:val="32"/>
        </w:rPr>
        <w:t>（一）申报资料</w:t>
      </w:r>
    </w:p>
    <w:p w14:paraId="060FD0FD">
      <w:pPr>
        <w:overflowPunct w:val="0"/>
        <w:autoSpaceDE w:val="0"/>
        <w:autoSpaceDN w:val="0"/>
        <w:adjustRightInd w:val="0"/>
        <w:snapToGrid w:val="0"/>
        <w:spacing w:line="570" w:lineRule="exact"/>
        <w:ind w:firstLine="640" w:firstLineChars="200"/>
        <w:rPr>
          <w:rFonts w:ascii="仿宋_GB2312" w:hAnsi="Times New Roman" w:eastAsia="仿宋_GB2312"/>
          <w:sz w:val="32"/>
          <w:szCs w:val="32"/>
        </w:rPr>
      </w:pPr>
      <w:r>
        <w:rPr>
          <w:rFonts w:hint="eastAsia" w:ascii="仿宋_GB2312" w:hAnsi="Times New Roman" w:eastAsia="仿宋_GB2312"/>
          <w:sz w:val="32"/>
          <w:szCs w:val="32"/>
        </w:rPr>
        <w:t>1.初次申办或待遇期满续办者须提供患者本人近半年内的与所申请病种相符合的住院病历或</w:t>
      </w:r>
      <w:r>
        <w:rPr>
          <w:rFonts w:hint="eastAsia" w:ascii="仿宋_GB2312" w:hAnsi="仿宋_GB2312" w:eastAsia="仿宋_GB2312"/>
          <w:sz w:val="32"/>
          <w:szCs w:val="32"/>
        </w:rPr>
        <w:t>医保定点医疗机构</w:t>
      </w:r>
      <w:r>
        <w:rPr>
          <w:rFonts w:hint="eastAsia" w:ascii="仿宋_GB2312" w:hAnsi="Times New Roman" w:eastAsia="仿宋_GB2312"/>
          <w:sz w:val="32"/>
          <w:szCs w:val="32"/>
        </w:rPr>
        <w:t>的体检资料；</w:t>
      </w:r>
    </w:p>
    <w:p w14:paraId="12A1F424">
      <w:pPr>
        <w:overflowPunct w:val="0"/>
        <w:autoSpaceDE w:val="0"/>
        <w:autoSpaceDN w:val="0"/>
        <w:adjustRightInd w:val="0"/>
        <w:snapToGrid w:val="0"/>
        <w:spacing w:line="570" w:lineRule="exact"/>
        <w:ind w:firstLine="640" w:firstLineChars="200"/>
        <w:rPr>
          <w:rFonts w:ascii="仿宋_GB2312" w:hAnsi="Times New Roman" w:eastAsia="仿宋_GB2312"/>
          <w:sz w:val="32"/>
          <w:szCs w:val="32"/>
        </w:rPr>
      </w:pPr>
      <w:r>
        <w:rPr>
          <w:rFonts w:hint="eastAsia" w:ascii="仿宋_GB2312" w:hAnsi="Times New Roman" w:eastAsia="仿宋_GB2312"/>
          <w:sz w:val="32"/>
          <w:szCs w:val="32"/>
        </w:rPr>
        <w:t>2.临床资料：病史、症状、体征等；</w:t>
      </w:r>
    </w:p>
    <w:p w14:paraId="79558AF8">
      <w:pPr>
        <w:overflowPunct w:val="0"/>
        <w:autoSpaceDE w:val="0"/>
        <w:autoSpaceDN w:val="0"/>
        <w:adjustRightInd w:val="0"/>
        <w:snapToGrid w:val="0"/>
        <w:spacing w:line="570" w:lineRule="exact"/>
        <w:ind w:firstLine="640" w:firstLineChars="200"/>
        <w:rPr>
          <w:rFonts w:ascii="仿宋_GB2312" w:hAnsi="Times New Roman" w:eastAsia="仿宋_GB2312"/>
          <w:sz w:val="32"/>
          <w:szCs w:val="32"/>
        </w:rPr>
      </w:pPr>
      <w:r>
        <w:rPr>
          <w:rFonts w:hint="eastAsia" w:ascii="仿宋_GB2312" w:hAnsi="Times New Roman" w:eastAsia="仿宋_GB2312"/>
          <w:sz w:val="32"/>
          <w:szCs w:val="32"/>
        </w:rPr>
        <w:t>3.检验资料：血常规、尿常规，血沉，自身抗体，补体。须满足抗核抗体阳性大于1:100，ds-DNA、抗SM抗体阳性、抗核小体抗体（ANuA）中必须有一项阳性；C3、C4有一项或两项降低；</w:t>
      </w:r>
    </w:p>
    <w:p w14:paraId="4B99509D">
      <w:pPr>
        <w:overflowPunct w:val="0"/>
        <w:autoSpaceDE w:val="0"/>
        <w:autoSpaceDN w:val="0"/>
        <w:adjustRightInd w:val="0"/>
        <w:snapToGrid w:val="0"/>
        <w:spacing w:line="570" w:lineRule="exact"/>
        <w:ind w:firstLine="640" w:firstLineChars="200"/>
        <w:rPr>
          <w:rFonts w:ascii="仿宋_GB2312" w:hAnsi="Times New Roman" w:eastAsia="仿宋_GB2312"/>
          <w:sz w:val="32"/>
          <w:szCs w:val="32"/>
        </w:rPr>
      </w:pPr>
      <w:r>
        <w:rPr>
          <w:rFonts w:hint="eastAsia" w:ascii="仿宋_GB2312" w:hAnsi="Times New Roman" w:eastAsia="仿宋_GB2312"/>
          <w:sz w:val="32"/>
          <w:szCs w:val="32"/>
        </w:rPr>
        <w:t>4.系统性红斑狼疮：肾活检资料阳性一项即可。系统性红斑狼疮伴并发症：肾活检阳性即可确诊；或24小时尿蛋白定量（UTP）大于0.5g/24小时；或者合并溶血性贫血（即coombs试验阳性）；</w:t>
      </w:r>
    </w:p>
    <w:p w14:paraId="0818261E">
      <w:pPr>
        <w:overflowPunct w:val="0"/>
        <w:autoSpaceDE w:val="0"/>
        <w:autoSpaceDN w:val="0"/>
        <w:adjustRightInd w:val="0"/>
        <w:snapToGrid w:val="0"/>
        <w:spacing w:line="570" w:lineRule="exact"/>
        <w:ind w:firstLine="640" w:firstLineChars="200"/>
        <w:rPr>
          <w:rFonts w:ascii="仿宋_GB2312" w:hAnsi="Times New Roman" w:eastAsia="仿宋_GB2312"/>
          <w:sz w:val="32"/>
          <w:szCs w:val="32"/>
        </w:rPr>
      </w:pPr>
      <w:r>
        <w:rPr>
          <w:rFonts w:hint="eastAsia" w:ascii="仿宋_GB2312" w:hAnsi="Times New Roman" w:eastAsia="仿宋_GB2312"/>
          <w:sz w:val="32"/>
          <w:szCs w:val="32"/>
        </w:rPr>
        <w:t xml:space="preserve">5.影像学检查资料；  </w:t>
      </w:r>
    </w:p>
    <w:p w14:paraId="42A62BA4">
      <w:pPr>
        <w:overflowPunct w:val="0"/>
        <w:autoSpaceDE w:val="0"/>
        <w:autoSpaceDN w:val="0"/>
        <w:adjustRightInd w:val="0"/>
        <w:snapToGrid w:val="0"/>
        <w:spacing w:line="570" w:lineRule="exact"/>
        <w:ind w:firstLine="640" w:firstLineChars="200"/>
        <w:rPr>
          <w:rFonts w:ascii="仿宋_GB2312" w:hAnsi="Times New Roman" w:eastAsia="仿宋_GB2312"/>
          <w:sz w:val="32"/>
          <w:szCs w:val="32"/>
        </w:rPr>
      </w:pPr>
      <w:r>
        <w:rPr>
          <w:rFonts w:hint="eastAsia" w:ascii="仿宋_GB2312" w:hAnsi="Times New Roman" w:eastAsia="仿宋_GB2312"/>
          <w:sz w:val="32"/>
          <w:szCs w:val="32"/>
        </w:rPr>
        <w:t>6.</w:t>
      </w:r>
      <w:r>
        <w:rPr>
          <w:rFonts w:hint="eastAsia" w:ascii="仿宋_GB2312" w:hAnsi="仿宋_GB2312" w:eastAsia="仿宋_GB2312"/>
          <w:sz w:val="32"/>
          <w:szCs w:val="32"/>
        </w:rPr>
        <w:t>医保定点医疗机构</w:t>
      </w:r>
      <w:r>
        <w:rPr>
          <w:rFonts w:hint="eastAsia" w:ascii="仿宋_GB2312" w:hAnsi="Times New Roman" w:eastAsia="仿宋_GB2312"/>
          <w:sz w:val="32"/>
          <w:szCs w:val="32"/>
        </w:rPr>
        <w:t>专科副主任医师以上（含主治医师）签名的诊断证明和专科治疗计划。</w:t>
      </w:r>
    </w:p>
    <w:p w14:paraId="06537EA3">
      <w:pPr>
        <w:overflowPunct w:val="0"/>
        <w:autoSpaceDE w:val="0"/>
        <w:autoSpaceDN w:val="0"/>
        <w:adjustRightInd w:val="0"/>
        <w:snapToGrid w:val="0"/>
        <w:spacing w:line="570" w:lineRule="exact"/>
        <w:ind w:firstLine="480" w:firstLineChars="150"/>
        <w:rPr>
          <w:rFonts w:ascii="楷体_GB2312" w:hAnsi="Times New Roman" w:eastAsia="楷体_GB2312"/>
          <w:bCs/>
          <w:sz w:val="32"/>
          <w:szCs w:val="32"/>
        </w:rPr>
      </w:pPr>
      <w:r>
        <w:rPr>
          <w:rFonts w:hint="eastAsia" w:ascii="仿宋_GB2312" w:hAnsi="Times New Roman" w:eastAsia="仿宋_GB2312"/>
          <w:bCs/>
          <w:sz w:val="32"/>
          <w:szCs w:val="32"/>
        </w:rPr>
        <w:t xml:space="preserve"> </w:t>
      </w:r>
      <w:r>
        <w:rPr>
          <w:rFonts w:hint="eastAsia" w:ascii="楷体_GB2312" w:hAnsi="Times New Roman" w:eastAsia="楷体_GB2312"/>
          <w:bCs/>
          <w:sz w:val="32"/>
          <w:szCs w:val="32"/>
        </w:rPr>
        <w:t>（二）治疗指征（认定标准）</w:t>
      </w:r>
    </w:p>
    <w:p w14:paraId="5EB8F499">
      <w:pPr>
        <w:overflowPunct w:val="0"/>
        <w:autoSpaceDE w:val="0"/>
        <w:autoSpaceDN w:val="0"/>
        <w:adjustRightInd w:val="0"/>
        <w:snapToGrid w:val="0"/>
        <w:spacing w:line="570" w:lineRule="exact"/>
        <w:ind w:firstLine="640" w:firstLineChars="200"/>
        <w:rPr>
          <w:rFonts w:ascii="仿宋_GB2312" w:hAnsi="Times New Roman" w:eastAsia="仿宋_GB2312"/>
          <w:sz w:val="32"/>
          <w:szCs w:val="32"/>
        </w:rPr>
      </w:pPr>
      <w:r>
        <w:rPr>
          <w:rFonts w:hint="eastAsia" w:ascii="仿宋_GB2312" w:hAnsi="Times New Roman" w:eastAsia="仿宋_GB2312"/>
          <w:sz w:val="32"/>
          <w:szCs w:val="32"/>
        </w:rPr>
        <w:t>1.癫痫发作、精神异常、脑血管病变；</w:t>
      </w:r>
    </w:p>
    <w:p w14:paraId="7F2FCE93">
      <w:pPr>
        <w:overflowPunct w:val="0"/>
        <w:autoSpaceDE w:val="0"/>
        <w:autoSpaceDN w:val="0"/>
        <w:adjustRightInd w:val="0"/>
        <w:snapToGrid w:val="0"/>
        <w:spacing w:line="570" w:lineRule="exact"/>
        <w:ind w:firstLine="640" w:firstLineChars="200"/>
        <w:rPr>
          <w:rFonts w:ascii="仿宋_GB2312" w:hAnsi="Times New Roman" w:eastAsia="仿宋_GB2312"/>
          <w:sz w:val="32"/>
          <w:szCs w:val="32"/>
        </w:rPr>
      </w:pPr>
      <w:r>
        <w:rPr>
          <w:rFonts w:hint="eastAsia" w:ascii="仿宋_GB2312" w:hAnsi="Times New Roman" w:eastAsia="仿宋_GB2312"/>
          <w:sz w:val="32"/>
          <w:szCs w:val="32"/>
        </w:rPr>
        <w:t>2.满足下列其中1项：蛋白尿异常、血尿、管型尿、肾活检组织有活动性病变。系统性红斑狼疮伴并发症蛋白尿需满足尿蛋白&gt;0.5g/24小时，或+++，或管型；</w:t>
      </w:r>
    </w:p>
    <w:p w14:paraId="3E349677">
      <w:pPr>
        <w:overflowPunct w:val="0"/>
        <w:autoSpaceDE w:val="0"/>
        <w:autoSpaceDN w:val="0"/>
        <w:adjustRightInd w:val="0"/>
        <w:snapToGrid w:val="0"/>
        <w:spacing w:line="570" w:lineRule="exact"/>
        <w:ind w:firstLine="640" w:firstLineChars="200"/>
        <w:rPr>
          <w:rFonts w:ascii="仿宋_GB2312" w:hAnsi="Times New Roman" w:eastAsia="仿宋_GB2312"/>
          <w:sz w:val="32"/>
          <w:szCs w:val="32"/>
        </w:rPr>
      </w:pPr>
      <w:r>
        <w:rPr>
          <w:rFonts w:hint="eastAsia" w:ascii="仿宋_GB2312" w:hAnsi="Times New Roman" w:eastAsia="仿宋_GB2312"/>
          <w:sz w:val="32"/>
          <w:szCs w:val="32"/>
        </w:rPr>
        <w:t>3.溶血性贫血、血小板减少、白细胞减少；</w:t>
      </w:r>
    </w:p>
    <w:p w14:paraId="556E0483">
      <w:pPr>
        <w:overflowPunct w:val="0"/>
        <w:autoSpaceDE w:val="0"/>
        <w:autoSpaceDN w:val="0"/>
        <w:adjustRightInd w:val="0"/>
        <w:snapToGrid w:val="0"/>
        <w:spacing w:line="570" w:lineRule="exact"/>
        <w:ind w:firstLine="640" w:firstLineChars="200"/>
        <w:rPr>
          <w:rFonts w:ascii="仿宋_GB2312" w:hAnsi="Times New Roman" w:eastAsia="仿宋_GB2312"/>
          <w:sz w:val="32"/>
          <w:szCs w:val="32"/>
        </w:rPr>
      </w:pPr>
      <w:r>
        <w:rPr>
          <w:rFonts w:hint="eastAsia" w:ascii="仿宋_GB2312" w:hAnsi="Times New Roman" w:eastAsia="仿宋_GB2312"/>
          <w:sz w:val="32"/>
          <w:szCs w:val="32"/>
        </w:rPr>
        <w:t>4.肺损害：肺间质纤维化、狼疮肺、肺动脉高压等。</w:t>
      </w:r>
    </w:p>
    <w:p w14:paraId="1E626721">
      <w:pPr>
        <w:overflowPunct w:val="0"/>
        <w:autoSpaceDE w:val="0"/>
        <w:autoSpaceDN w:val="0"/>
        <w:adjustRightInd w:val="0"/>
        <w:snapToGrid w:val="0"/>
        <w:spacing w:line="570" w:lineRule="exact"/>
        <w:ind w:firstLine="480" w:firstLineChars="150"/>
        <w:rPr>
          <w:rFonts w:ascii="楷体_GB2312" w:hAnsi="Times New Roman" w:eastAsia="楷体_GB2312"/>
          <w:bCs/>
          <w:sz w:val="32"/>
          <w:szCs w:val="32"/>
        </w:rPr>
      </w:pPr>
      <w:r>
        <w:rPr>
          <w:rFonts w:hint="eastAsia" w:ascii="楷体_GB2312" w:hAnsi="Times New Roman" w:eastAsia="楷体_GB2312"/>
          <w:bCs/>
          <w:sz w:val="32"/>
          <w:szCs w:val="32"/>
        </w:rPr>
        <w:t xml:space="preserve"> （三）门诊诊疗范围</w:t>
      </w:r>
    </w:p>
    <w:p w14:paraId="77C4CA6B">
      <w:pPr>
        <w:overflowPunct w:val="0"/>
        <w:autoSpaceDE w:val="0"/>
        <w:autoSpaceDN w:val="0"/>
        <w:adjustRightInd w:val="0"/>
        <w:snapToGrid w:val="0"/>
        <w:spacing w:line="570" w:lineRule="exact"/>
        <w:ind w:firstLine="640" w:firstLineChars="200"/>
        <w:rPr>
          <w:rFonts w:ascii="仿宋_GB2312" w:hAnsi="Times New Roman" w:eastAsia="仿宋_GB2312"/>
          <w:sz w:val="32"/>
          <w:szCs w:val="32"/>
        </w:rPr>
      </w:pPr>
      <w:r>
        <w:rPr>
          <w:rFonts w:hint="eastAsia" w:ascii="仿宋_GB2312" w:hAnsi="Times New Roman" w:eastAsia="仿宋_GB2312"/>
          <w:sz w:val="32"/>
          <w:szCs w:val="32"/>
        </w:rPr>
        <w:t>1.糖皮质激素、免疫抑制剂及抗疟药等药物；</w:t>
      </w:r>
    </w:p>
    <w:p w14:paraId="5A7BBFC1">
      <w:pPr>
        <w:overflowPunct w:val="0"/>
        <w:autoSpaceDE w:val="0"/>
        <w:autoSpaceDN w:val="0"/>
        <w:adjustRightInd w:val="0"/>
        <w:snapToGrid w:val="0"/>
        <w:spacing w:line="570" w:lineRule="exact"/>
        <w:ind w:firstLine="640" w:firstLineChars="200"/>
        <w:rPr>
          <w:rFonts w:ascii="仿宋_GB2312" w:hAnsi="Times New Roman" w:eastAsia="仿宋_GB2312"/>
          <w:sz w:val="32"/>
          <w:szCs w:val="32"/>
        </w:rPr>
      </w:pPr>
      <w:r>
        <w:rPr>
          <w:rFonts w:hint="eastAsia" w:ascii="仿宋_GB2312" w:hAnsi="Times New Roman" w:eastAsia="仿宋_GB2312"/>
          <w:sz w:val="32"/>
          <w:szCs w:val="32"/>
        </w:rPr>
        <w:t>2.对症治疗的药物；</w:t>
      </w:r>
    </w:p>
    <w:p w14:paraId="30A402EA">
      <w:pPr>
        <w:overflowPunct w:val="0"/>
        <w:autoSpaceDE w:val="0"/>
        <w:autoSpaceDN w:val="0"/>
        <w:adjustRightInd w:val="0"/>
        <w:snapToGrid w:val="0"/>
        <w:spacing w:line="570" w:lineRule="exact"/>
        <w:ind w:firstLine="640" w:firstLineChars="200"/>
        <w:rPr>
          <w:rFonts w:ascii="仿宋_GB2312" w:hAnsi="Times New Roman" w:eastAsia="仿宋_GB2312"/>
          <w:sz w:val="32"/>
          <w:szCs w:val="32"/>
        </w:rPr>
      </w:pPr>
      <w:r>
        <w:rPr>
          <w:rFonts w:hint="eastAsia" w:ascii="仿宋_GB2312" w:hAnsi="Times New Roman" w:eastAsia="仿宋_GB2312"/>
          <w:sz w:val="32"/>
          <w:szCs w:val="32"/>
        </w:rPr>
        <w:t>3.治疗期间毒、副反应的治疗；</w:t>
      </w:r>
    </w:p>
    <w:p w14:paraId="3D26915B">
      <w:pPr>
        <w:overflowPunct w:val="0"/>
        <w:autoSpaceDE w:val="0"/>
        <w:autoSpaceDN w:val="0"/>
        <w:adjustRightInd w:val="0"/>
        <w:snapToGrid w:val="0"/>
        <w:spacing w:line="570" w:lineRule="exact"/>
        <w:ind w:firstLine="640" w:firstLineChars="200"/>
        <w:rPr>
          <w:rFonts w:ascii="仿宋_GB2312" w:hAnsi="Times New Roman" w:eastAsia="仿宋_GB2312"/>
          <w:sz w:val="32"/>
          <w:szCs w:val="32"/>
        </w:rPr>
      </w:pPr>
      <w:r>
        <w:rPr>
          <w:rFonts w:hint="eastAsia" w:ascii="仿宋_GB2312" w:hAnsi="Times New Roman" w:eastAsia="仿宋_GB2312"/>
          <w:sz w:val="32"/>
          <w:szCs w:val="32"/>
        </w:rPr>
        <w:t>4.治疗期间的相关检查。</w:t>
      </w:r>
    </w:p>
    <w:p w14:paraId="68AD25AB">
      <w:pPr>
        <w:overflowPunct w:val="0"/>
        <w:autoSpaceDE w:val="0"/>
        <w:autoSpaceDN w:val="0"/>
        <w:adjustRightInd w:val="0"/>
        <w:snapToGrid w:val="0"/>
        <w:spacing w:line="570" w:lineRule="exact"/>
        <w:ind w:firstLine="480" w:firstLineChars="150"/>
        <w:rPr>
          <w:rFonts w:ascii="仿宋_GB2312" w:hAnsi="Times New Roman" w:eastAsia="仿宋_GB2312"/>
          <w:bCs/>
          <w:sz w:val="32"/>
          <w:szCs w:val="32"/>
        </w:rPr>
      </w:pPr>
      <w:r>
        <w:rPr>
          <w:rFonts w:hint="eastAsia" w:ascii="仿宋_GB2312" w:hAnsi="Times New Roman" w:eastAsia="仿宋_GB2312"/>
          <w:bCs/>
          <w:sz w:val="32"/>
          <w:szCs w:val="32"/>
        </w:rPr>
        <w:t xml:space="preserve"> </w:t>
      </w:r>
      <w:r>
        <w:rPr>
          <w:rFonts w:hint="eastAsia" w:ascii="楷体_GB2312" w:hAnsi="Times New Roman" w:eastAsia="楷体_GB2312"/>
          <w:bCs/>
          <w:sz w:val="32"/>
          <w:szCs w:val="32"/>
        </w:rPr>
        <w:t>（四）复审期限</w:t>
      </w:r>
    </w:p>
    <w:p w14:paraId="02EE94B9">
      <w:pPr>
        <w:overflowPunct w:val="0"/>
        <w:autoSpaceDE w:val="0"/>
        <w:autoSpaceDN w:val="0"/>
        <w:adjustRightInd w:val="0"/>
        <w:snapToGrid w:val="0"/>
        <w:spacing w:line="570" w:lineRule="exact"/>
        <w:rPr>
          <w:rFonts w:ascii="黑体" w:hAnsi="黑体" w:eastAsia="黑体"/>
          <w:sz w:val="32"/>
          <w:szCs w:val="32"/>
        </w:rPr>
      </w:pPr>
      <w:r>
        <w:rPr>
          <w:rFonts w:hint="eastAsia" w:ascii="仿宋_GB2312" w:hAnsi="Times New Roman" w:eastAsia="仿宋_GB2312"/>
          <w:bCs/>
          <w:sz w:val="32"/>
          <w:szCs w:val="32"/>
        </w:rPr>
        <w:t xml:space="preserve">    </w:t>
      </w:r>
      <w:r>
        <w:rPr>
          <w:rFonts w:hint="eastAsia" w:ascii="仿宋_GB2312" w:hAnsi="仿宋_GB2312" w:eastAsia="仿宋_GB2312"/>
          <w:bCs/>
          <w:sz w:val="32"/>
          <w:szCs w:val="32"/>
        </w:rPr>
        <w:t>系统性红斑狼疮每</w:t>
      </w:r>
      <w:r>
        <w:rPr>
          <w:rFonts w:hint="eastAsia" w:ascii="仿宋_GB2312" w:hAnsi="Times New Roman" w:eastAsia="仿宋_GB2312"/>
          <w:bCs/>
          <w:sz w:val="32"/>
          <w:szCs w:val="32"/>
        </w:rPr>
        <w:t>3</w:t>
      </w:r>
      <w:r>
        <w:rPr>
          <w:rFonts w:hint="eastAsia" w:ascii="仿宋_GB2312" w:hAnsi="仿宋_GB2312" w:eastAsia="仿宋_GB2312"/>
          <w:bCs/>
          <w:sz w:val="32"/>
          <w:szCs w:val="32"/>
        </w:rPr>
        <w:t>年复审一次，系统性红斑狼疮伴并发症每</w:t>
      </w:r>
      <w:r>
        <w:rPr>
          <w:rFonts w:hint="eastAsia" w:ascii="仿宋_GB2312" w:hAnsi="Times New Roman" w:eastAsia="仿宋_GB2312"/>
          <w:bCs/>
          <w:sz w:val="32"/>
          <w:szCs w:val="32"/>
        </w:rPr>
        <w:t>5</w:t>
      </w:r>
      <w:r>
        <w:rPr>
          <w:rFonts w:hint="eastAsia" w:ascii="仿宋_GB2312" w:hAnsi="仿宋_GB2312" w:eastAsia="仿宋_GB2312"/>
          <w:bCs/>
          <w:sz w:val="32"/>
          <w:szCs w:val="32"/>
        </w:rPr>
        <w:t>年复审一次。</w:t>
      </w:r>
    </w:p>
    <w:p w14:paraId="69E330C9">
      <w:pPr>
        <w:overflowPunct w:val="0"/>
        <w:autoSpaceDE w:val="0"/>
        <w:autoSpaceDN w:val="0"/>
        <w:adjustRightInd w:val="0"/>
        <w:snapToGrid w:val="0"/>
        <w:spacing w:line="570" w:lineRule="exact"/>
        <w:ind w:firstLine="640" w:firstLineChars="200"/>
        <w:rPr>
          <w:rFonts w:ascii="黑体" w:hAnsi="黑体" w:eastAsia="黑体"/>
          <w:sz w:val="32"/>
          <w:szCs w:val="32"/>
        </w:rPr>
      </w:pPr>
      <w:r>
        <w:rPr>
          <w:rFonts w:hint="eastAsia" w:ascii="黑体" w:hAnsi="黑体" w:eastAsia="黑体"/>
          <w:sz w:val="32"/>
          <w:szCs w:val="32"/>
        </w:rPr>
        <w:t>四十二、血友病</w:t>
      </w:r>
    </w:p>
    <w:p w14:paraId="1AAB60FF">
      <w:pPr>
        <w:overflowPunct w:val="0"/>
        <w:autoSpaceDE w:val="0"/>
        <w:autoSpaceDN w:val="0"/>
        <w:adjustRightInd w:val="0"/>
        <w:snapToGrid w:val="0"/>
        <w:spacing w:line="570" w:lineRule="exact"/>
        <w:ind w:firstLine="640" w:firstLineChars="200"/>
        <w:rPr>
          <w:rFonts w:ascii="楷体_GB2312" w:hAnsi="Times New Roman" w:eastAsia="楷体_GB2312"/>
          <w:bCs/>
          <w:sz w:val="32"/>
          <w:szCs w:val="32"/>
        </w:rPr>
      </w:pPr>
      <w:r>
        <w:rPr>
          <w:rFonts w:hint="eastAsia" w:ascii="楷体_GB2312" w:hAnsi="Times New Roman" w:eastAsia="楷体_GB2312"/>
          <w:bCs/>
          <w:sz w:val="32"/>
          <w:szCs w:val="32"/>
        </w:rPr>
        <w:t>（一）申报资料</w:t>
      </w:r>
    </w:p>
    <w:p w14:paraId="6D56975A">
      <w:pPr>
        <w:overflowPunct w:val="0"/>
        <w:autoSpaceDE w:val="0"/>
        <w:autoSpaceDN w:val="0"/>
        <w:adjustRightInd w:val="0"/>
        <w:snapToGrid w:val="0"/>
        <w:spacing w:line="570" w:lineRule="exact"/>
        <w:ind w:firstLine="640" w:firstLineChars="200"/>
        <w:rPr>
          <w:rFonts w:ascii="仿宋_GB2312" w:hAnsi="Times New Roman" w:eastAsia="仿宋_GB2312"/>
          <w:sz w:val="32"/>
          <w:szCs w:val="32"/>
        </w:rPr>
      </w:pPr>
      <w:r>
        <w:rPr>
          <w:rFonts w:hint="eastAsia" w:ascii="仿宋_GB2312" w:hAnsi="Times New Roman" w:eastAsia="仿宋_GB2312"/>
          <w:sz w:val="32"/>
          <w:szCs w:val="32"/>
        </w:rPr>
        <w:t>1.初次申办者须提供医保定点医疗机构近两年内与所申报病种相符合的完整住院病历或门诊病历；</w:t>
      </w:r>
    </w:p>
    <w:p w14:paraId="12C48394">
      <w:pPr>
        <w:overflowPunct w:val="0"/>
        <w:autoSpaceDE w:val="0"/>
        <w:autoSpaceDN w:val="0"/>
        <w:adjustRightInd w:val="0"/>
        <w:snapToGrid w:val="0"/>
        <w:spacing w:line="570" w:lineRule="exact"/>
        <w:ind w:firstLine="640" w:firstLineChars="200"/>
        <w:rPr>
          <w:rFonts w:ascii="仿宋_GB2312" w:hAnsi="Times New Roman" w:eastAsia="仿宋_GB2312"/>
          <w:sz w:val="32"/>
          <w:szCs w:val="32"/>
        </w:rPr>
      </w:pPr>
      <w:r>
        <w:rPr>
          <w:rFonts w:hint="eastAsia" w:ascii="仿宋_GB2312" w:hAnsi="Times New Roman" w:eastAsia="仿宋_GB2312"/>
          <w:sz w:val="32"/>
          <w:szCs w:val="32"/>
        </w:rPr>
        <w:t>2.医保定点医疗机构血液科副主任医师以上（含副主任医师）开具的诊断证明及诊疗计划。</w:t>
      </w:r>
    </w:p>
    <w:p w14:paraId="3057BD04">
      <w:pPr>
        <w:overflowPunct w:val="0"/>
        <w:autoSpaceDE w:val="0"/>
        <w:autoSpaceDN w:val="0"/>
        <w:adjustRightInd w:val="0"/>
        <w:snapToGrid w:val="0"/>
        <w:spacing w:line="570" w:lineRule="exact"/>
        <w:ind w:firstLine="627" w:firstLineChars="196"/>
        <w:rPr>
          <w:rFonts w:ascii="楷体_GB2312" w:hAnsi="Times New Roman" w:eastAsia="楷体_GB2312"/>
          <w:bCs/>
          <w:sz w:val="32"/>
          <w:szCs w:val="32"/>
        </w:rPr>
      </w:pPr>
      <w:r>
        <w:rPr>
          <w:rFonts w:hint="eastAsia" w:ascii="楷体_GB2312" w:hAnsi="Times New Roman" w:eastAsia="楷体_GB2312"/>
          <w:bCs/>
          <w:sz w:val="32"/>
          <w:szCs w:val="32"/>
        </w:rPr>
        <w:t>（二）治疗指征（认定标准）</w:t>
      </w:r>
    </w:p>
    <w:p w14:paraId="68C42BD8">
      <w:pPr>
        <w:overflowPunct w:val="0"/>
        <w:autoSpaceDE w:val="0"/>
        <w:autoSpaceDN w:val="0"/>
        <w:adjustRightInd w:val="0"/>
        <w:snapToGrid w:val="0"/>
        <w:spacing w:line="570" w:lineRule="exact"/>
        <w:ind w:firstLine="627" w:firstLineChars="196"/>
        <w:rPr>
          <w:rFonts w:ascii="仿宋_GB2312" w:hAnsi="Times New Roman" w:eastAsia="仿宋_GB2312"/>
          <w:sz w:val="32"/>
          <w:szCs w:val="32"/>
        </w:rPr>
      </w:pPr>
      <w:r>
        <w:rPr>
          <w:rFonts w:hint="eastAsia" w:ascii="仿宋_GB2312" w:hAnsi="Times New Roman" w:eastAsia="仿宋_GB2312"/>
          <w:sz w:val="32"/>
          <w:szCs w:val="32"/>
        </w:rPr>
        <w:t>按需治疗或预防治疗或康复治疗等。</w:t>
      </w:r>
    </w:p>
    <w:p w14:paraId="57109C85">
      <w:pPr>
        <w:overflowPunct w:val="0"/>
        <w:autoSpaceDE w:val="0"/>
        <w:autoSpaceDN w:val="0"/>
        <w:adjustRightInd w:val="0"/>
        <w:snapToGrid w:val="0"/>
        <w:spacing w:line="570" w:lineRule="exact"/>
        <w:ind w:firstLine="640" w:firstLineChars="200"/>
        <w:rPr>
          <w:rFonts w:ascii="楷体_GB2312" w:hAnsi="Times New Roman" w:eastAsia="楷体_GB2312"/>
          <w:bCs/>
          <w:sz w:val="32"/>
          <w:szCs w:val="32"/>
        </w:rPr>
      </w:pPr>
      <w:r>
        <w:rPr>
          <w:rFonts w:hint="eastAsia" w:ascii="楷体_GB2312" w:hAnsi="Times New Roman" w:eastAsia="楷体_GB2312"/>
          <w:bCs/>
          <w:sz w:val="32"/>
          <w:szCs w:val="32"/>
        </w:rPr>
        <w:t>（三）门诊诊疗范围</w:t>
      </w:r>
    </w:p>
    <w:p w14:paraId="16EDABBC">
      <w:pPr>
        <w:overflowPunct w:val="0"/>
        <w:autoSpaceDE w:val="0"/>
        <w:autoSpaceDN w:val="0"/>
        <w:adjustRightInd w:val="0"/>
        <w:snapToGrid w:val="0"/>
        <w:spacing w:line="570" w:lineRule="exact"/>
        <w:ind w:firstLine="640" w:firstLineChars="200"/>
        <w:rPr>
          <w:rFonts w:ascii="仿宋_GB2312" w:hAnsi="Times New Roman" w:eastAsia="仿宋_GB2312"/>
          <w:sz w:val="32"/>
          <w:szCs w:val="32"/>
        </w:rPr>
      </w:pPr>
      <w:r>
        <w:rPr>
          <w:rFonts w:hint="eastAsia" w:ascii="仿宋_GB2312" w:hAnsi="Times New Roman" w:eastAsia="仿宋_GB2312"/>
          <w:sz w:val="32"/>
          <w:szCs w:val="32"/>
        </w:rPr>
        <w:t>1.血友病的替代治疗，替代用血制品、重组人凝血因子Ⅷ或Ⅸ、重组人凝血因子VII等；</w:t>
      </w:r>
    </w:p>
    <w:p w14:paraId="1778CC26">
      <w:pPr>
        <w:overflowPunct w:val="0"/>
        <w:autoSpaceDE w:val="0"/>
        <w:autoSpaceDN w:val="0"/>
        <w:adjustRightInd w:val="0"/>
        <w:snapToGrid w:val="0"/>
        <w:spacing w:line="570" w:lineRule="exact"/>
        <w:ind w:firstLine="640" w:firstLineChars="200"/>
        <w:rPr>
          <w:rFonts w:ascii="仿宋_GB2312" w:hAnsi="Times New Roman" w:eastAsia="仿宋_GB2312"/>
          <w:sz w:val="32"/>
          <w:szCs w:val="32"/>
        </w:rPr>
      </w:pPr>
      <w:r>
        <w:rPr>
          <w:rFonts w:hint="eastAsia" w:ascii="仿宋_GB2312" w:hAnsi="Times New Roman" w:eastAsia="仿宋_GB2312"/>
          <w:sz w:val="32"/>
          <w:szCs w:val="32"/>
        </w:rPr>
        <w:t>2.治疗期间及治疗后的相关检查。</w:t>
      </w:r>
    </w:p>
    <w:p w14:paraId="052EC829">
      <w:pPr>
        <w:overflowPunct w:val="0"/>
        <w:autoSpaceDE w:val="0"/>
        <w:autoSpaceDN w:val="0"/>
        <w:adjustRightInd w:val="0"/>
        <w:snapToGrid w:val="0"/>
        <w:spacing w:line="570" w:lineRule="exact"/>
        <w:ind w:firstLine="640" w:firstLineChars="200"/>
        <w:rPr>
          <w:rFonts w:ascii="楷体_GB2312" w:hAnsi="Times New Roman" w:eastAsia="楷体_GB2312"/>
          <w:bCs/>
          <w:sz w:val="32"/>
          <w:szCs w:val="32"/>
        </w:rPr>
      </w:pPr>
      <w:r>
        <w:rPr>
          <w:rFonts w:hint="eastAsia" w:ascii="楷体_GB2312" w:hAnsi="Times New Roman" w:eastAsia="楷体_GB2312"/>
          <w:bCs/>
          <w:sz w:val="32"/>
          <w:szCs w:val="32"/>
        </w:rPr>
        <w:t>（四）复审期限</w:t>
      </w:r>
    </w:p>
    <w:p w14:paraId="7E5F32C4">
      <w:pPr>
        <w:overflowPunct w:val="0"/>
        <w:autoSpaceDE w:val="0"/>
        <w:autoSpaceDN w:val="0"/>
        <w:adjustRightInd w:val="0"/>
        <w:snapToGrid w:val="0"/>
        <w:spacing w:line="570" w:lineRule="exact"/>
        <w:rPr>
          <w:rFonts w:ascii="仿宋_GB2312" w:hAnsi="Times New Roman" w:eastAsia="仿宋_GB2312"/>
          <w:sz w:val="32"/>
          <w:szCs w:val="32"/>
        </w:rPr>
      </w:pPr>
      <w:r>
        <w:rPr>
          <w:rFonts w:hint="eastAsia" w:ascii="仿宋_GB2312" w:hAnsi="Times New Roman" w:eastAsia="仿宋_GB2312"/>
          <w:bCs/>
          <w:sz w:val="32"/>
          <w:szCs w:val="32"/>
        </w:rPr>
        <w:t xml:space="preserve">    </w:t>
      </w:r>
      <w:r>
        <w:rPr>
          <w:rFonts w:hint="eastAsia" w:ascii="仿宋_GB2312" w:hAnsi="仿宋_GB2312" w:eastAsia="仿宋_GB2312"/>
          <w:bCs/>
          <w:sz w:val="32"/>
          <w:szCs w:val="32"/>
        </w:rPr>
        <w:t>长期。</w:t>
      </w:r>
    </w:p>
    <w:p w14:paraId="4136B883">
      <w:pPr>
        <w:overflowPunct w:val="0"/>
        <w:autoSpaceDE w:val="0"/>
        <w:autoSpaceDN w:val="0"/>
        <w:adjustRightInd w:val="0"/>
        <w:snapToGrid w:val="0"/>
        <w:spacing w:line="570" w:lineRule="exact"/>
        <w:rPr>
          <w:rFonts w:ascii="黑体" w:hAnsi="黑体" w:eastAsia="黑体"/>
          <w:sz w:val="32"/>
          <w:szCs w:val="32"/>
        </w:rPr>
      </w:pPr>
      <w:r>
        <w:rPr>
          <w:rFonts w:hint="eastAsia" w:ascii="仿宋_GB2312" w:hAnsi="Times New Roman" w:eastAsia="仿宋_GB2312"/>
          <w:sz w:val="32"/>
          <w:szCs w:val="32"/>
        </w:rPr>
        <w:t xml:space="preserve">    </w:t>
      </w:r>
      <w:r>
        <w:rPr>
          <w:rFonts w:hint="eastAsia" w:ascii="黑体" w:hAnsi="黑体" w:eastAsia="黑体"/>
          <w:sz w:val="32"/>
          <w:szCs w:val="32"/>
        </w:rPr>
        <w:t>四十三、白血病门诊治疗</w:t>
      </w:r>
    </w:p>
    <w:p w14:paraId="39EEB5B5">
      <w:pPr>
        <w:overflowPunct w:val="0"/>
        <w:autoSpaceDE w:val="0"/>
        <w:autoSpaceDN w:val="0"/>
        <w:adjustRightInd w:val="0"/>
        <w:snapToGrid w:val="0"/>
        <w:spacing w:line="570" w:lineRule="exact"/>
        <w:ind w:firstLine="640" w:firstLineChars="200"/>
        <w:rPr>
          <w:rFonts w:ascii="楷体_GB2312" w:hAnsi="Times New Roman" w:eastAsia="楷体_GB2312"/>
          <w:bCs/>
          <w:sz w:val="32"/>
          <w:szCs w:val="32"/>
        </w:rPr>
      </w:pPr>
      <w:r>
        <w:rPr>
          <w:rFonts w:hint="eastAsia" w:ascii="楷体_GB2312" w:hAnsi="Times New Roman" w:eastAsia="楷体_GB2312"/>
          <w:bCs/>
          <w:sz w:val="32"/>
          <w:szCs w:val="32"/>
        </w:rPr>
        <w:t>（一）申报资料</w:t>
      </w:r>
    </w:p>
    <w:p w14:paraId="6CEB9B77">
      <w:pPr>
        <w:overflowPunct w:val="0"/>
        <w:autoSpaceDE w:val="0"/>
        <w:autoSpaceDN w:val="0"/>
        <w:adjustRightInd w:val="0"/>
        <w:snapToGrid w:val="0"/>
        <w:spacing w:line="570" w:lineRule="exact"/>
        <w:ind w:firstLine="640" w:firstLineChars="200"/>
        <w:rPr>
          <w:rFonts w:ascii="仿宋_GB2312" w:hAnsi="Times New Roman" w:eastAsia="仿宋_GB2312"/>
          <w:sz w:val="32"/>
          <w:szCs w:val="32"/>
        </w:rPr>
      </w:pPr>
      <w:r>
        <w:rPr>
          <w:rFonts w:hint="eastAsia" w:ascii="仿宋_GB2312" w:hAnsi="Times New Roman" w:eastAsia="仿宋_GB2312"/>
          <w:sz w:val="32"/>
          <w:szCs w:val="32"/>
        </w:rPr>
        <w:t>1.须提供医保定点医疗机构患者本人近一年的与所申请病种相符合的住院病历或门诊病历；</w:t>
      </w:r>
    </w:p>
    <w:p w14:paraId="5E086C94">
      <w:pPr>
        <w:overflowPunct w:val="0"/>
        <w:autoSpaceDE w:val="0"/>
        <w:autoSpaceDN w:val="0"/>
        <w:adjustRightInd w:val="0"/>
        <w:snapToGrid w:val="0"/>
        <w:spacing w:line="570" w:lineRule="exact"/>
        <w:ind w:firstLine="640" w:firstLineChars="200"/>
        <w:rPr>
          <w:rFonts w:ascii="仿宋_GB2312" w:hAnsi="Times New Roman" w:eastAsia="仿宋_GB2312"/>
          <w:sz w:val="32"/>
          <w:szCs w:val="32"/>
        </w:rPr>
      </w:pPr>
      <w:r>
        <w:rPr>
          <w:rFonts w:hint="eastAsia" w:ascii="仿宋_GB2312" w:hAnsi="Times New Roman" w:eastAsia="仿宋_GB2312"/>
          <w:sz w:val="32"/>
          <w:szCs w:val="32"/>
        </w:rPr>
        <w:t>2.医保定点医疗机构血液科副主任医师以上（含副主任医师）签名的治疗计划。</w:t>
      </w:r>
    </w:p>
    <w:p w14:paraId="5C9325EA">
      <w:pPr>
        <w:overflowPunct w:val="0"/>
        <w:autoSpaceDE w:val="0"/>
        <w:autoSpaceDN w:val="0"/>
        <w:adjustRightInd w:val="0"/>
        <w:snapToGrid w:val="0"/>
        <w:spacing w:line="570" w:lineRule="exact"/>
        <w:ind w:firstLine="640" w:firstLineChars="200"/>
        <w:rPr>
          <w:rFonts w:ascii="仿宋_GB2312" w:hAnsi="Times New Roman" w:eastAsia="仿宋_GB2312"/>
          <w:sz w:val="32"/>
          <w:szCs w:val="32"/>
        </w:rPr>
      </w:pPr>
      <w:r>
        <w:rPr>
          <w:rFonts w:hint="eastAsia" w:ascii="仿宋_GB2312" w:hAnsi="Times New Roman" w:eastAsia="仿宋_GB2312"/>
          <w:sz w:val="32"/>
          <w:szCs w:val="32"/>
        </w:rPr>
        <w:t>3.医保定点医疗机构加盖公章的诊断证明书。</w:t>
      </w:r>
    </w:p>
    <w:p w14:paraId="38BD73B4">
      <w:pPr>
        <w:overflowPunct w:val="0"/>
        <w:autoSpaceDE w:val="0"/>
        <w:autoSpaceDN w:val="0"/>
        <w:adjustRightInd w:val="0"/>
        <w:snapToGrid w:val="0"/>
        <w:spacing w:line="570" w:lineRule="exact"/>
        <w:ind w:firstLine="640" w:firstLineChars="200"/>
        <w:rPr>
          <w:rFonts w:ascii="楷体_GB2312" w:hAnsi="Times New Roman" w:eastAsia="楷体_GB2312"/>
          <w:bCs/>
          <w:sz w:val="32"/>
          <w:szCs w:val="32"/>
        </w:rPr>
      </w:pPr>
      <w:r>
        <w:rPr>
          <w:rFonts w:hint="eastAsia" w:ascii="楷体_GB2312" w:hAnsi="Times New Roman" w:eastAsia="楷体_GB2312"/>
          <w:bCs/>
          <w:sz w:val="32"/>
          <w:szCs w:val="32"/>
        </w:rPr>
        <w:t>（二）治疗指征（认定标准）</w:t>
      </w:r>
    </w:p>
    <w:p w14:paraId="51262E0E">
      <w:pPr>
        <w:overflowPunct w:val="0"/>
        <w:autoSpaceDE w:val="0"/>
        <w:autoSpaceDN w:val="0"/>
        <w:adjustRightInd w:val="0"/>
        <w:snapToGrid w:val="0"/>
        <w:spacing w:line="570" w:lineRule="exact"/>
        <w:ind w:firstLine="640" w:firstLineChars="200"/>
        <w:rPr>
          <w:rFonts w:ascii="仿宋_GB2312" w:hAnsi="Times New Roman" w:eastAsia="仿宋_GB2312"/>
          <w:sz w:val="32"/>
          <w:szCs w:val="32"/>
        </w:rPr>
      </w:pPr>
      <w:r>
        <w:rPr>
          <w:rFonts w:hint="eastAsia" w:ascii="仿宋_GB2312" w:hAnsi="Times New Roman" w:eastAsia="仿宋_GB2312"/>
          <w:sz w:val="32"/>
          <w:szCs w:val="32"/>
        </w:rPr>
        <w:t>诊断白血病明确，需要治疗。</w:t>
      </w:r>
    </w:p>
    <w:p w14:paraId="22C87227">
      <w:pPr>
        <w:overflowPunct w:val="0"/>
        <w:autoSpaceDE w:val="0"/>
        <w:autoSpaceDN w:val="0"/>
        <w:adjustRightInd w:val="0"/>
        <w:snapToGrid w:val="0"/>
        <w:spacing w:line="570" w:lineRule="exact"/>
        <w:ind w:firstLine="640" w:firstLineChars="200"/>
        <w:rPr>
          <w:rFonts w:ascii="楷体_GB2312" w:hAnsi="Times New Roman" w:eastAsia="楷体_GB2312"/>
          <w:bCs/>
          <w:sz w:val="32"/>
          <w:szCs w:val="32"/>
        </w:rPr>
      </w:pPr>
      <w:r>
        <w:rPr>
          <w:rFonts w:hint="eastAsia" w:ascii="楷体_GB2312" w:hAnsi="Times New Roman" w:eastAsia="楷体_GB2312"/>
          <w:bCs/>
          <w:sz w:val="32"/>
          <w:szCs w:val="32"/>
        </w:rPr>
        <w:t>（三）门诊诊疗范围</w:t>
      </w:r>
    </w:p>
    <w:p w14:paraId="77C1107A">
      <w:pPr>
        <w:overflowPunct w:val="0"/>
        <w:autoSpaceDE w:val="0"/>
        <w:autoSpaceDN w:val="0"/>
        <w:adjustRightInd w:val="0"/>
        <w:snapToGrid w:val="0"/>
        <w:spacing w:line="570" w:lineRule="exact"/>
        <w:ind w:firstLine="640" w:firstLineChars="200"/>
        <w:rPr>
          <w:rFonts w:ascii="仿宋_GB2312" w:hAnsi="Times New Roman" w:eastAsia="仿宋_GB2312"/>
          <w:sz w:val="32"/>
          <w:szCs w:val="32"/>
        </w:rPr>
      </w:pPr>
      <w:r>
        <w:rPr>
          <w:rFonts w:hint="eastAsia" w:ascii="仿宋_GB2312" w:hAnsi="Times New Roman" w:eastAsia="仿宋_GB2312"/>
          <w:sz w:val="32"/>
          <w:szCs w:val="32"/>
        </w:rPr>
        <w:t>1.白血病的药物治疗、输血治疗、抗感染等治疗；</w:t>
      </w:r>
    </w:p>
    <w:p w14:paraId="60F2EDDA">
      <w:pPr>
        <w:overflowPunct w:val="0"/>
        <w:autoSpaceDE w:val="0"/>
        <w:autoSpaceDN w:val="0"/>
        <w:adjustRightInd w:val="0"/>
        <w:snapToGrid w:val="0"/>
        <w:spacing w:line="570" w:lineRule="exact"/>
        <w:ind w:firstLine="640" w:firstLineChars="200"/>
        <w:rPr>
          <w:rFonts w:ascii="仿宋_GB2312" w:hAnsi="Times New Roman" w:eastAsia="仿宋_GB2312"/>
          <w:sz w:val="32"/>
          <w:szCs w:val="32"/>
        </w:rPr>
      </w:pPr>
      <w:r>
        <w:rPr>
          <w:rFonts w:hint="eastAsia" w:ascii="仿宋_GB2312" w:hAnsi="Times New Roman" w:eastAsia="仿宋_GB2312"/>
          <w:sz w:val="32"/>
          <w:szCs w:val="32"/>
        </w:rPr>
        <w:t>2.治疗期间及治疗后的相关检查。</w:t>
      </w:r>
    </w:p>
    <w:p w14:paraId="41F25235">
      <w:pPr>
        <w:overflowPunct w:val="0"/>
        <w:autoSpaceDE w:val="0"/>
        <w:autoSpaceDN w:val="0"/>
        <w:adjustRightInd w:val="0"/>
        <w:snapToGrid w:val="0"/>
        <w:spacing w:line="570" w:lineRule="exact"/>
        <w:ind w:firstLine="640" w:firstLineChars="200"/>
        <w:rPr>
          <w:rFonts w:ascii="楷体_GB2312" w:hAnsi="Times New Roman" w:eastAsia="楷体_GB2312"/>
          <w:bCs/>
          <w:sz w:val="32"/>
          <w:szCs w:val="32"/>
        </w:rPr>
      </w:pPr>
      <w:r>
        <w:rPr>
          <w:rFonts w:hint="eastAsia" w:ascii="楷体_GB2312" w:hAnsi="Times New Roman" w:eastAsia="楷体_GB2312"/>
          <w:bCs/>
          <w:sz w:val="32"/>
          <w:szCs w:val="32"/>
        </w:rPr>
        <w:t>（四）复审期限</w:t>
      </w:r>
    </w:p>
    <w:p w14:paraId="5B281D43">
      <w:pPr>
        <w:overflowPunct w:val="0"/>
        <w:autoSpaceDE w:val="0"/>
        <w:autoSpaceDN w:val="0"/>
        <w:adjustRightInd w:val="0"/>
        <w:snapToGrid w:val="0"/>
        <w:spacing w:line="570" w:lineRule="exact"/>
        <w:ind w:firstLine="627" w:firstLineChars="196"/>
        <w:rPr>
          <w:rFonts w:ascii="仿宋_GB2312" w:hAnsi="Times New Roman" w:eastAsia="仿宋_GB2312"/>
          <w:bCs/>
          <w:sz w:val="32"/>
          <w:szCs w:val="32"/>
        </w:rPr>
      </w:pPr>
      <w:r>
        <w:rPr>
          <w:rFonts w:hint="eastAsia" w:ascii="仿宋_GB2312" w:hAnsi="仿宋_GB2312" w:eastAsia="仿宋_GB2312"/>
          <w:bCs/>
          <w:sz w:val="32"/>
          <w:szCs w:val="32"/>
        </w:rPr>
        <w:t>每</w:t>
      </w:r>
      <w:r>
        <w:rPr>
          <w:rFonts w:hint="eastAsia" w:ascii="仿宋_GB2312" w:hAnsi="Times New Roman" w:eastAsia="仿宋_GB2312"/>
          <w:bCs/>
          <w:sz w:val="32"/>
          <w:szCs w:val="32"/>
        </w:rPr>
        <w:t>1</w:t>
      </w:r>
      <w:r>
        <w:rPr>
          <w:rFonts w:hint="eastAsia" w:ascii="仿宋_GB2312" w:hAnsi="仿宋_GB2312" w:eastAsia="仿宋_GB2312"/>
          <w:bCs/>
          <w:sz w:val="32"/>
          <w:szCs w:val="32"/>
        </w:rPr>
        <w:t>年复审一次。</w:t>
      </w:r>
    </w:p>
    <w:p w14:paraId="46510BE5">
      <w:pPr>
        <w:overflowPunct w:val="0"/>
        <w:autoSpaceDE w:val="0"/>
        <w:autoSpaceDN w:val="0"/>
        <w:adjustRightInd w:val="0"/>
        <w:snapToGrid w:val="0"/>
        <w:spacing w:line="570" w:lineRule="exact"/>
        <w:rPr>
          <w:rFonts w:ascii="黑体" w:hAnsi="黑体" w:eastAsia="黑体"/>
          <w:sz w:val="32"/>
          <w:szCs w:val="32"/>
        </w:rPr>
      </w:pPr>
      <w:r>
        <w:rPr>
          <w:rFonts w:hint="eastAsia" w:ascii="仿宋_GB2312" w:hAnsi="Times New Roman" w:eastAsia="仿宋_GB2312"/>
          <w:sz w:val="32"/>
          <w:szCs w:val="32"/>
        </w:rPr>
        <w:t xml:space="preserve">   </w:t>
      </w:r>
      <w:r>
        <w:rPr>
          <w:rFonts w:hint="eastAsia" w:ascii="黑体" w:hAnsi="黑体" w:eastAsia="黑体"/>
          <w:sz w:val="32"/>
          <w:szCs w:val="32"/>
        </w:rPr>
        <w:t xml:space="preserve"> 四十四、再生障碍性贫血</w:t>
      </w:r>
    </w:p>
    <w:p w14:paraId="76980AB1">
      <w:pPr>
        <w:overflowPunct w:val="0"/>
        <w:autoSpaceDE w:val="0"/>
        <w:autoSpaceDN w:val="0"/>
        <w:adjustRightInd w:val="0"/>
        <w:snapToGrid w:val="0"/>
        <w:spacing w:line="570" w:lineRule="exact"/>
        <w:ind w:firstLine="640" w:firstLineChars="200"/>
        <w:rPr>
          <w:rFonts w:ascii="楷体_GB2312" w:hAnsi="Times New Roman" w:eastAsia="楷体_GB2312"/>
          <w:bCs/>
          <w:sz w:val="32"/>
          <w:szCs w:val="32"/>
        </w:rPr>
      </w:pPr>
      <w:r>
        <w:rPr>
          <w:rFonts w:hint="eastAsia" w:ascii="楷体_GB2312" w:hAnsi="Times New Roman" w:eastAsia="楷体_GB2312"/>
          <w:bCs/>
          <w:sz w:val="32"/>
          <w:szCs w:val="32"/>
        </w:rPr>
        <w:t>（一）申报资料</w:t>
      </w:r>
    </w:p>
    <w:p w14:paraId="304B03EB">
      <w:pPr>
        <w:overflowPunct w:val="0"/>
        <w:autoSpaceDE w:val="0"/>
        <w:autoSpaceDN w:val="0"/>
        <w:adjustRightInd w:val="0"/>
        <w:snapToGrid w:val="0"/>
        <w:spacing w:line="570" w:lineRule="exact"/>
        <w:ind w:firstLine="640" w:firstLineChars="200"/>
        <w:rPr>
          <w:rFonts w:ascii="仿宋_GB2312" w:hAnsi="Times New Roman" w:eastAsia="仿宋_GB2312"/>
          <w:sz w:val="32"/>
          <w:szCs w:val="32"/>
        </w:rPr>
      </w:pPr>
      <w:r>
        <w:rPr>
          <w:rFonts w:hint="eastAsia" w:ascii="仿宋_GB2312" w:hAnsi="Times New Roman" w:eastAsia="仿宋_GB2312"/>
          <w:sz w:val="32"/>
          <w:szCs w:val="32"/>
        </w:rPr>
        <w:t>1.须提供医保定点医疗机构患者本人近半年的与所申请病种相符合的住院病历或完整的门诊病历；</w:t>
      </w:r>
    </w:p>
    <w:p w14:paraId="2D2CF43E">
      <w:pPr>
        <w:overflowPunct w:val="0"/>
        <w:autoSpaceDE w:val="0"/>
        <w:autoSpaceDN w:val="0"/>
        <w:adjustRightInd w:val="0"/>
        <w:snapToGrid w:val="0"/>
        <w:spacing w:line="570" w:lineRule="exact"/>
        <w:ind w:firstLine="640" w:firstLineChars="200"/>
        <w:rPr>
          <w:rFonts w:ascii="仿宋_GB2312" w:hAnsi="Times New Roman" w:eastAsia="仿宋_GB2312"/>
          <w:sz w:val="32"/>
          <w:szCs w:val="32"/>
        </w:rPr>
      </w:pPr>
      <w:r>
        <w:rPr>
          <w:rFonts w:hint="eastAsia" w:ascii="仿宋_GB2312" w:hAnsi="Times New Roman" w:eastAsia="仿宋_GB2312"/>
          <w:sz w:val="32"/>
          <w:szCs w:val="32"/>
        </w:rPr>
        <w:t>2.医保定点医疗机构血液科副主任医师以上（含副主任医师）签名的治疗计划。</w:t>
      </w:r>
    </w:p>
    <w:p w14:paraId="051E5B5B">
      <w:pPr>
        <w:overflowPunct w:val="0"/>
        <w:autoSpaceDE w:val="0"/>
        <w:autoSpaceDN w:val="0"/>
        <w:adjustRightInd w:val="0"/>
        <w:snapToGrid w:val="0"/>
        <w:spacing w:line="570" w:lineRule="exact"/>
        <w:ind w:firstLine="640" w:firstLineChars="200"/>
        <w:rPr>
          <w:rFonts w:ascii="仿宋_GB2312" w:hAnsi="Times New Roman" w:eastAsia="仿宋_GB2312"/>
          <w:sz w:val="32"/>
          <w:szCs w:val="32"/>
        </w:rPr>
      </w:pPr>
      <w:r>
        <w:rPr>
          <w:rFonts w:hint="eastAsia" w:ascii="仿宋_GB2312" w:hAnsi="Times New Roman" w:eastAsia="仿宋_GB2312"/>
          <w:sz w:val="32"/>
          <w:szCs w:val="32"/>
        </w:rPr>
        <w:t>3.医保定点医疗机构加盖公章的诊断证明书。</w:t>
      </w:r>
    </w:p>
    <w:p w14:paraId="306F86B8">
      <w:pPr>
        <w:overflowPunct w:val="0"/>
        <w:autoSpaceDE w:val="0"/>
        <w:autoSpaceDN w:val="0"/>
        <w:adjustRightInd w:val="0"/>
        <w:snapToGrid w:val="0"/>
        <w:spacing w:line="570" w:lineRule="exact"/>
        <w:ind w:firstLine="640" w:firstLineChars="200"/>
        <w:rPr>
          <w:rFonts w:ascii="仿宋_GB2312" w:hAnsi="Times New Roman" w:eastAsia="仿宋_GB2312"/>
          <w:sz w:val="32"/>
          <w:szCs w:val="32"/>
        </w:rPr>
      </w:pPr>
      <w:r>
        <w:rPr>
          <w:rFonts w:hint="eastAsia" w:ascii="楷体_GB2312" w:hAnsi="Times New Roman" w:eastAsia="楷体_GB2312"/>
          <w:bCs/>
          <w:sz w:val="32"/>
          <w:szCs w:val="32"/>
        </w:rPr>
        <w:t>（二）治疗指征（认定标准）</w:t>
      </w:r>
      <w:r>
        <w:rPr>
          <w:rFonts w:hint="eastAsia" w:ascii="仿宋_GB2312" w:hAnsi="Times New Roman" w:eastAsia="仿宋_GB2312"/>
          <w:sz w:val="32"/>
          <w:szCs w:val="32"/>
        </w:rPr>
        <w:t xml:space="preserve">    </w:t>
      </w:r>
    </w:p>
    <w:p w14:paraId="5716479A">
      <w:pPr>
        <w:overflowPunct w:val="0"/>
        <w:autoSpaceDE w:val="0"/>
        <w:autoSpaceDN w:val="0"/>
        <w:adjustRightInd w:val="0"/>
        <w:snapToGrid w:val="0"/>
        <w:spacing w:line="570" w:lineRule="exact"/>
        <w:ind w:firstLine="640" w:firstLineChars="200"/>
        <w:rPr>
          <w:rFonts w:ascii="仿宋_GB2312" w:hAnsi="Times New Roman" w:eastAsia="仿宋_GB2312"/>
          <w:sz w:val="32"/>
          <w:szCs w:val="32"/>
        </w:rPr>
      </w:pPr>
      <w:r>
        <w:rPr>
          <w:rFonts w:hint="eastAsia" w:ascii="仿宋_GB2312" w:hAnsi="Times New Roman" w:eastAsia="仿宋_GB2312"/>
          <w:sz w:val="32"/>
          <w:szCs w:val="32"/>
        </w:rPr>
        <w:t>血细胞减少或需要维持治疗。</w:t>
      </w:r>
    </w:p>
    <w:p w14:paraId="5BBBF7CC">
      <w:pPr>
        <w:overflowPunct w:val="0"/>
        <w:autoSpaceDE w:val="0"/>
        <w:autoSpaceDN w:val="0"/>
        <w:adjustRightInd w:val="0"/>
        <w:snapToGrid w:val="0"/>
        <w:spacing w:line="570" w:lineRule="exact"/>
        <w:ind w:firstLine="640" w:firstLineChars="200"/>
        <w:rPr>
          <w:rFonts w:ascii="楷体_GB2312" w:hAnsi="Times New Roman" w:eastAsia="楷体_GB2312"/>
          <w:bCs/>
          <w:sz w:val="32"/>
          <w:szCs w:val="32"/>
        </w:rPr>
      </w:pPr>
      <w:r>
        <w:rPr>
          <w:rFonts w:hint="eastAsia" w:ascii="楷体_GB2312" w:hAnsi="Times New Roman" w:eastAsia="楷体_GB2312"/>
          <w:bCs/>
          <w:sz w:val="32"/>
          <w:szCs w:val="32"/>
        </w:rPr>
        <w:t>（三）门诊诊疗范围</w:t>
      </w:r>
    </w:p>
    <w:p w14:paraId="00706272">
      <w:pPr>
        <w:overflowPunct w:val="0"/>
        <w:autoSpaceDE w:val="0"/>
        <w:autoSpaceDN w:val="0"/>
        <w:adjustRightInd w:val="0"/>
        <w:snapToGrid w:val="0"/>
        <w:spacing w:line="570" w:lineRule="exact"/>
        <w:ind w:firstLine="640" w:firstLineChars="200"/>
        <w:rPr>
          <w:rFonts w:ascii="仿宋_GB2312" w:hAnsi="Times New Roman" w:eastAsia="仿宋_GB2312"/>
          <w:sz w:val="32"/>
          <w:szCs w:val="32"/>
        </w:rPr>
      </w:pPr>
      <w:r>
        <w:rPr>
          <w:rFonts w:hint="eastAsia" w:ascii="仿宋_GB2312" w:hAnsi="Times New Roman" w:eastAsia="仿宋_GB2312"/>
          <w:sz w:val="32"/>
          <w:szCs w:val="32"/>
        </w:rPr>
        <w:t>1.再生障碍性贫血的药物治疗、输血治疗、抗感染等治疗；</w:t>
      </w:r>
    </w:p>
    <w:p w14:paraId="17FD99BE">
      <w:pPr>
        <w:overflowPunct w:val="0"/>
        <w:autoSpaceDE w:val="0"/>
        <w:autoSpaceDN w:val="0"/>
        <w:adjustRightInd w:val="0"/>
        <w:snapToGrid w:val="0"/>
        <w:spacing w:line="570" w:lineRule="exact"/>
        <w:ind w:firstLine="640" w:firstLineChars="200"/>
        <w:rPr>
          <w:rFonts w:ascii="仿宋_GB2312" w:hAnsi="Times New Roman" w:eastAsia="仿宋_GB2312"/>
          <w:sz w:val="32"/>
          <w:szCs w:val="32"/>
        </w:rPr>
      </w:pPr>
      <w:r>
        <w:rPr>
          <w:rFonts w:hint="eastAsia" w:ascii="仿宋_GB2312" w:hAnsi="Times New Roman" w:eastAsia="仿宋_GB2312"/>
          <w:sz w:val="32"/>
          <w:szCs w:val="32"/>
        </w:rPr>
        <w:t>2.治疗期间及治疗后的相关检查。</w:t>
      </w:r>
    </w:p>
    <w:p w14:paraId="0D2DD54C">
      <w:pPr>
        <w:overflowPunct w:val="0"/>
        <w:autoSpaceDE w:val="0"/>
        <w:autoSpaceDN w:val="0"/>
        <w:adjustRightInd w:val="0"/>
        <w:snapToGrid w:val="0"/>
        <w:spacing w:line="570" w:lineRule="exact"/>
        <w:ind w:firstLine="640" w:firstLineChars="200"/>
        <w:rPr>
          <w:rFonts w:ascii="楷体_GB2312" w:hAnsi="Times New Roman" w:eastAsia="楷体_GB2312"/>
          <w:bCs/>
          <w:sz w:val="32"/>
          <w:szCs w:val="32"/>
        </w:rPr>
      </w:pPr>
      <w:r>
        <w:rPr>
          <w:rFonts w:hint="eastAsia" w:ascii="楷体_GB2312" w:hAnsi="Times New Roman" w:eastAsia="楷体_GB2312"/>
          <w:bCs/>
          <w:sz w:val="32"/>
          <w:szCs w:val="32"/>
        </w:rPr>
        <w:t>（四）复审期限</w:t>
      </w:r>
    </w:p>
    <w:p w14:paraId="65A670B2">
      <w:pPr>
        <w:overflowPunct w:val="0"/>
        <w:autoSpaceDE w:val="0"/>
        <w:autoSpaceDN w:val="0"/>
        <w:adjustRightInd w:val="0"/>
        <w:snapToGrid w:val="0"/>
        <w:spacing w:line="570" w:lineRule="exact"/>
        <w:ind w:firstLine="627" w:firstLineChars="196"/>
        <w:rPr>
          <w:rFonts w:ascii="黑体" w:hAnsi="黑体" w:eastAsia="黑体"/>
          <w:sz w:val="32"/>
          <w:szCs w:val="32"/>
        </w:rPr>
      </w:pPr>
      <w:r>
        <w:rPr>
          <w:rFonts w:hint="eastAsia" w:ascii="仿宋_GB2312" w:hAnsi="仿宋_GB2312" w:eastAsia="仿宋_GB2312"/>
          <w:bCs/>
          <w:sz w:val="32"/>
          <w:szCs w:val="32"/>
        </w:rPr>
        <w:t>每</w:t>
      </w:r>
      <w:r>
        <w:rPr>
          <w:rFonts w:hint="eastAsia" w:ascii="仿宋_GB2312" w:hAnsi="Times New Roman" w:eastAsia="仿宋_GB2312"/>
          <w:bCs/>
          <w:sz w:val="32"/>
          <w:szCs w:val="32"/>
        </w:rPr>
        <w:t>1</w:t>
      </w:r>
      <w:r>
        <w:rPr>
          <w:rFonts w:hint="eastAsia" w:ascii="仿宋_GB2312" w:hAnsi="仿宋_GB2312" w:eastAsia="仿宋_GB2312"/>
          <w:bCs/>
          <w:sz w:val="32"/>
          <w:szCs w:val="32"/>
        </w:rPr>
        <w:t>年复审一次。</w:t>
      </w:r>
    </w:p>
    <w:p w14:paraId="2CA223EB">
      <w:pPr>
        <w:overflowPunct w:val="0"/>
        <w:autoSpaceDE w:val="0"/>
        <w:autoSpaceDN w:val="0"/>
        <w:adjustRightInd w:val="0"/>
        <w:snapToGrid w:val="0"/>
        <w:spacing w:line="570" w:lineRule="exact"/>
        <w:ind w:firstLine="640"/>
        <w:rPr>
          <w:rFonts w:ascii="黑体" w:hAnsi="黑体" w:eastAsia="黑体"/>
          <w:sz w:val="32"/>
          <w:szCs w:val="32"/>
        </w:rPr>
      </w:pPr>
      <w:r>
        <w:rPr>
          <w:rFonts w:hint="eastAsia" w:ascii="黑体" w:hAnsi="黑体" w:eastAsia="黑体"/>
          <w:sz w:val="32"/>
          <w:szCs w:val="32"/>
        </w:rPr>
        <w:t>四十五、</w:t>
      </w:r>
      <w:r>
        <w:rPr>
          <w:rFonts w:hint="eastAsia" w:ascii="黑体" w:hAnsi="黑体" w:eastAsia="黑体"/>
          <w:sz w:val="32"/>
          <w:szCs w:val="32"/>
          <w:lang w:eastAsia="zh-Hans"/>
        </w:rPr>
        <w:t>血液透析、腹膜透析</w:t>
      </w:r>
    </w:p>
    <w:p w14:paraId="46CDB041">
      <w:pPr>
        <w:overflowPunct w:val="0"/>
        <w:autoSpaceDE w:val="0"/>
        <w:autoSpaceDN w:val="0"/>
        <w:adjustRightInd w:val="0"/>
        <w:snapToGrid w:val="0"/>
        <w:spacing w:line="570" w:lineRule="exact"/>
        <w:ind w:firstLine="640" w:firstLineChars="200"/>
        <w:rPr>
          <w:rFonts w:ascii="楷体_GB2312" w:hAnsi="Times New Roman" w:eastAsia="楷体_GB2312"/>
          <w:bCs/>
          <w:sz w:val="32"/>
          <w:szCs w:val="32"/>
        </w:rPr>
      </w:pPr>
      <w:r>
        <w:rPr>
          <w:rFonts w:hint="eastAsia" w:ascii="楷体_GB2312" w:hAnsi="Times New Roman" w:eastAsia="楷体_GB2312"/>
          <w:bCs/>
          <w:sz w:val="32"/>
          <w:szCs w:val="32"/>
        </w:rPr>
        <w:t>（一）申报资料</w:t>
      </w:r>
    </w:p>
    <w:p w14:paraId="790EEC00">
      <w:pPr>
        <w:overflowPunct w:val="0"/>
        <w:autoSpaceDE w:val="0"/>
        <w:autoSpaceDN w:val="0"/>
        <w:adjustRightInd w:val="0"/>
        <w:snapToGrid w:val="0"/>
        <w:spacing w:line="570" w:lineRule="exact"/>
        <w:ind w:firstLine="640" w:firstLineChars="200"/>
        <w:rPr>
          <w:rFonts w:ascii="仿宋_GB2312" w:hAnsi="Times New Roman" w:eastAsia="仿宋_GB2312"/>
          <w:sz w:val="32"/>
          <w:szCs w:val="32"/>
        </w:rPr>
      </w:pPr>
      <w:r>
        <w:rPr>
          <w:rFonts w:hint="eastAsia" w:ascii="仿宋_GB2312" w:hAnsi="Times New Roman" w:eastAsia="仿宋_GB2312"/>
          <w:sz w:val="32"/>
          <w:szCs w:val="32"/>
        </w:rPr>
        <w:t>1.须提供患者本人近三个月</w:t>
      </w:r>
      <w:r>
        <w:rPr>
          <w:rFonts w:hint="eastAsia" w:ascii="仿宋_GB2312" w:hAnsi="仿宋_GB2312" w:eastAsia="仿宋_GB2312"/>
          <w:sz w:val="32"/>
          <w:szCs w:val="32"/>
        </w:rPr>
        <w:t>医保定点医疗机构</w:t>
      </w:r>
      <w:r>
        <w:rPr>
          <w:rFonts w:hint="eastAsia" w:ascii="仿宋_GB2312" w:hAnsi="Times New Roman" w:eastAsia="仿宋_GB2312"/>
          <w:sz w:val="32"/>
          <w:szCs w:val="32"/>
        </w:rPr>
        <w:t>与所申报病种相符合的临床资料（盖治疗医院印章）：（1）相关住院病历或体检资料，包括病史、症状、体征，肾功能检查报告单〔血肌酐（SCr）、血尿素氮（BUN）、肾小球滤过率（eGFR）或内生肌酐清除率（Ccr）〕等（此项首次办理必备）（2）住院或门诊透析</w:t>
      </w:r>
      <w:bookmarkStart w:id="1" w:name="_Hlk147566879"/>
      <w:r>
        <w:rPr>
          <w:rFonts w:hint="eastAsia" w:ascii="仿宋_GB2312" w:hAnsi="Times New Roman" w:eastAsia="仿宋_GB2312"/>
          <w:sz w:val="32"/>
          <w:szCs w:val="32"/>
        </w:rPr>
        <w:t>治疗单</w:t>
      </w:r>
      <w:bookmarkEnd w:id="1"/>
      <w:r>
        <w:rPr>
          <w:rFonts w:hint="eastAsia" w:ascii="仿宋_GB2312" w:hAnsi="Times New Roman" w:eastAsia="仿宋_GB2312"/>
          <w:sz w:val="32"/>
          <w:szCs w:val="32"/>
        </w:rPr>
        <w:t>（居家腹膜透析患者，须提供医保定点医疗机构出具的近三个月内的门诊长期透析计划、透析记录单或透析处方、购药发票及清单）（3）或有相关辅助检查资料：血常规、尿常规、血生化检查、甲状旁腺素报告单（4）或有医学影像相关检查资料：双肾超声等；</w:t>
      </w:r>
    </w:p>
    <w:p w14:paraId="5303E9DF">
      <w:pPr>
        <w:overflowPunct w:val="0"/>
        <w:autoSpaceDE w:val="0"/>
        <w:autoSpaceDN w:val="0"/>
        <w:adjustRightInd w:val="0"/>
        <w:snapToGrid w:val="0"/>
        <w:spacing w:line="570" w:lineRule="exact"/>
        <w:ind w:firstLine="640" w:firstLineChars="200"/>
        <w:rPr>
          <w:rFonts w:ascii="仿宋_GB2312" w:hAnsi="Times New Roman" w:eastAsia="仿宋_GB2312"/>
          <w:sz w:val="32"/>
          <w:szCs w:val="32"/>
        </w:rPr>
      </w:pPr>
      <w:r>
        <w:rPr>
          <w:rFonts w:ascii="仿宋_GB2312" w:hAnsi="Times New Roman" w:eastAsia="仿宋_GB2312"/>
          <w:sz w:val="32"/>
          <w:szCs w:val="32"/>
        </w:rPr>
        <w:t>2</w:t>
      </w:r>
      <w:r>
        <w:rPr>
          <w:rFonts w:hint="eastAsia" w:ascii="仿宋_GB2312" w:hAnsi="Times New Roman" w:eastAsia="仿宋_GB2312"/>
          <w:sz w:val="32"/>
          <w:szCs w:val="32"/>
        </w:rPr>
        <w:t>.</w:t>
      </w:r>
      <w:r>
        <w:rPr>
          <w:rFonts w:hint="eastAsia" w:ascii="仿宋_GB2312" w:hAnsi="仿宋_GB2312" w:eastAsia="仿宋_GB2312"/>
          <w:sz w:val="32"/>
          <w:szCs w:val="32"/>
        </w:rPr>
        <w:t>医保定点医疗机构</w:t>
      </w:r>
      <w:r>
        <w:rPr>
          <w:rFonts w:hint="eastAsia" w:ascii="仿宋_GB2312" w:hAnsi="Times New Roman" w:eastAsia="仿宋_GB2312"/>
          <w:sz w:val="32"/>
          <w:szCs w:val="32"/>
        </w:rPr>
        <w:t>副主任医师及以上签名的透析诊疗计划或肾内科主治医师及以上职称开具的慢性肾脏病（CKD）5期或慢性肾功能衰竭（CRF）尿毒症期的诊断及长期门诊透析计划证明（含MDT或会诊意见）。</w:t>
      </w:r>
    </w:p>
    <w:p w14:paraId="255FB657">
      <w:pPr>
        <w:overflowPunct w:val="0"/>
        <w:autoSpaceDE w:val="0"/>
        <w:autoSpaceDN w:val="0"/>
        <w:adjustRightInd w:val="0"/>
        <w:snapToGrid w:val="0"/>
        <w:spacing w:line="570" w:lineRule="exact"/>
        <w:ind w:firstLine="640" w:firstLineChars="200"/>
        <w:rPr>
          <w:rFonts w:ascii="楷体_GB2312" w:hAnsi="Times New Roman" w:eastAsia="楷体_GB2312"/>
          <w:bCs/>
          <w:sz w:val="32"/>
          <w:szCs w:val="32"/>
        </w:rPr>
      </w:pPr>
      <w:r>
        <w:rPr>
          <w:rFonts w:hint="eastAsia" w:ascii="楷体_GB2312" w:hAnsi="Times New Roman" w:eastAsia="楷体_GB2312"/>
          <w:bCs/>
          <w:sz w:val="32"/>
          <w:szCs w:val="32"/>
        </w:rPr>
        <w:t>（二）治疗指征（认定标准）</w:t>
      </w:r>
    </w:p>
    <w:p w14:paraId="05C56A91">
      <w:pPr>
        <w:overflowPunct w:val="0"/>
        <w:autoSpaceDE w:val="0"/>
        <w:autoSpaceDN w:val="0"/>
        <w:adjustRightInd w:val="0"/>
        <w:snapToGrid w:val="0"/>
        <w:spacing w:line="570" w:lineRule="exact"/>
        <w:ind w:firstLine="640" w:firstLineChars="200"/>
        <w:rPr>
          <w:rFonts w:ascii="仿宋_GB2312" w:hAnsi="Times New Roman" w:eastAsia="仿宋_GB2312"/>
          <w:sz w:val="32"/>
          <w:szCs w:val="32"/>
        </w:rPr>
      </w:pPr>
      <w:r>
        <w:rPr>
          <w:rFonts w:hint="eastAsia" w:ascii="仿宋_GB2312" w:hAnsi="Times New Roman" w:eastAsia="仿宋_GB2312"/>
          <w:sz w:val="32"/>
          <w:szCs w:val="32"/>
        </w:rPr>
        <w:t>达到国内现行慢性肾脏病（CKD5期）或慢性功能肾衰竭（CRF尿毒症期）的诊断标准，需要透析治疗者：</w:t>
      </w:r>
    </w:p>
    <w:p w14:paraId="3260DD52">
      <w:pPr>
        <w:overflowPunct w:val="0"/>
        <w:autoSpaceDE w:val="0"/>
        <w:autoSpaceDN w:val="0"/>
        <w:adjustRightInd w:val="0"/>
        <w:snapToGrid w:val="0"/>
        <w:spacing w:line="570" w:lineRule="exact"/>
        <w:ind w:firstLine="640" w:firstLineChars="200"/>
        <w:rPr>
          <w:rFonts w:ascii="仿宋_GB2312" w:hAnsi="Times New Roman" w:eastAsia="仿宋_GB2312"/>
          <w:sz w:val="32"/>
          <w:szCs w:val="32"/>
        </w:rPr>
      </w:pPr>
      <w:r>
        <w:rPr>
          <w:rFonts w:hint="eastAsia" w:ascii="仿宋_GB2312" w:hAnsi="Times New Roman" w:eastAsia="仿宋_GB2312"/>
          <w:sz w:val="32"/>
          <w:szCs w:val="32"/>
        </w:rPr>
        <w:t>1.肾小球滤过率（GFR）/内生肌酐清除率（Ccr）≤15 ml/min；</w:t>
      </w:r>
    </w:p>
    <w:p w14:paraId="4A592DC0">
      <w:pPr>
        <w:overflowPunct w:val="0"/>
        <w:autoSpaceDE w:val="0"/>
        <w:autoSpaceDN w:val="0"/>
        <w:adjustRightInd w:val="0"/>
        <w:snapToGrid w:val="0"/>
        <w:spacing w:line="570" w:lineRule="exact"/>
        <w:ind w:firstLine="640" w:firstLineChars="200"/>
        <w:rPr>
          <w:rFonts w:ascii="仿宋_GB2312" w:hAnsi="Times New Roman" w:eastAsia="仿宋_GB2312"/>
          <w:sz w:val="32"/>
          <w:szCs w:val="32"/>
        </w:rPr>
      </w:pPr>
      <w:r>
        <w:rPr>
          <w:rFonts w:hint="eastAsia" w:ascii="仿宋_GB2312" w:hAnsi="Times New Roman" w:eastAsia="仿宋_GB2312"/>
          <w:sz w:val="32"/>
          <w:szCs w:val="32"/>
        </w:rPr>
        <w:t>2.血肌酐（SCr）≥707umol/L、或糖尿病肾病（DKD）SCr ≥ 440umol/L；</w:t>
      </w:r>
    </w:p>
    <w:p w14:paraId="66F57A47">
      <w:pPr>
        <w:overflowPunct w:val="0"/>
        <w:autoSpaceDE w:val="0"/>
        <w:autoSpaceDN w:val="0"/>
        <w:adjustRightInd w:val="0"/>
        <w:snapToGrid w:val="0"/>
        <w:spacing w:line="570" w:lineRule="exact"/>
        <w:ind w:firstLine="630" w:firstLineChars="197"/>
        <w:rPr>
          <w:rFonts w:ascii="仿宋_GB2312" w:hAnsi="Times New Roman" w:eastAsia="仿宋_GB2312"/>
          <w:sz w:val="32"/>
          <w:szCs w:val="32"/>
        </w:rPr>
      </w:pPr>
      <w:r>
        <w:rPr>
          <w:rFonts w:hint="eastAsia" w:ascii="仿宋_GB2312" w:hAnsi="Times New Roman" w:eastAsia="仿宋_GB2312"/>
          <w:sz w:val="32"/>
          <w:szCs w:val="32"/>
        </w:rPr>
        <w:t xml:space="preserve">3.临床难以纠正的相关并发症：严重水肿、低蛋白血症、电解质紊乱（高钾血症等）、酸中毒、充血性心力衰竭、肺水肿、尿毒症性心包炎、尿毒症性脑病等。 </w:t>
      </w:r>
    </w:p>
    <w:p w14:paraId="63DFCE57">
      <w:pPr>
        <w:overflowPunct w:val="0"/>
        <w:autoSpaceDE w:val="0"/>
        <w:autoSpaceDN w:val="0"/>
        <w:adjustRightInd w:val="0"/>
        <w:snapToGrid w:val="0"/>
        <w:spacing w:line="570" w:lineRule="exact"/>
        <w:ind w:firstLine="640" w:firstLineChars="200"/>
        <w:rPr>
          <w:rFonts w:ascii="楷体_GB2312" w:hAnsi="Times New Roman" w:eastAsia="楷体_GB2312"/>
          <w:bCs/>
          <w:sz w:val="32"/>
          <w:szCs w:val="32"/>
        </w:rPr>
      </w:pPr>
      <w:r>
        <w:rPr>
          <w:rFonts w:hint="eastAsia" w:ascii="楷体_GB2312" w:hAnsi="Times New Roman" w:eastAsia="楷体_GB2312"/>
          <w:bCs/>
          <w:sz w:val="32"/>
          <w:szCs w:val="32"/>
        </w:rPr>
        <w:t>（三）门诊诊疗范围</w:t>
      </w:r>
    </w:p>
    <w:p w14:paraId="3ABAEFAD">
      <w:pPr>
        <w:overflowPunct w:val="0"/>
        <w:autoSpaceDE w:val="0"/>
        <w:autoSpaceDN w:val="0"/>
        <w:adjustRightInd w:val="0"/>
        <w:snapToGrid w:val="0"/>
        <w:spacing w:line="570" w:lineRule="exact"/>
        <w:ind w:firstLine="640" w:firstLineChars="200"/>
        <w:rPr>
          <w:rFonts w:ascii="仿宋_GB2312" w:hAnsi="Times New Roman" w:eastAsia="仿宋_GB2312"/>
          <w:sz w:val="32"/>
          <w:szCs w:val="32"/>
        </w:rPr>
      </w:pPr>
      <w:r>
        <w:rPr>
          <w:rFonts w:hint="eastAsia" w:ascii="仿宋_GB2312" w:hAnsi="Times New Roman" w:eastAsia="仿宋_GB2312"/>
          <w:sz w:val="32"/>
          <w:szCs w:val="32"/>
        </w:rPr>
        <w:t>1.血液透析治疗（HD）：含血液透析治疗费、血透监测费、透析液、透析管路、一次性透析器、穿刺针；</w:t>
      </w:r>
    </w:p>
    <w:p w14:paraId="54F9C491">
      <w:pPr>
        <w:overflowPunct w:val="0"/>
        <w:autoSpaceDE w:val="0"/>
        <w:autoSpaceDN w:val="0"/>
        <w:adjustRightInd w:val="0"/>
        <w:snapToGrid w:val="0"/>
        <w:spacing w:line="570" w:lineRule="exact"/>
        <w:ind w:firstLine="640" w:firstLineChars="200"/>
        <w:rPr>
          <w:rFonts w:ascii="仿宋_GB2312" w:hAnsi="Times New Roman" w:eastAsia="仿宋_GB2312"/>
          <w:sz w:val="32"/>
          <w:szCs w:val="32"/>
        </w:rPr>
      </w:pPr>
      <w:r>
        <w:rPr>
          <w:rFonts w:hint="eastAsia" w:ascii="仿宋_GB2312" w:hAnsi="Times New Roman" w:eastAsia="仿宋_GB2312"/>
          <w:sz w:val="32"/>
          <w:szCs w:val="32"/>
        </w:rPr>
        <w:t>2.腹膜透析治疗（PD）：含腹透置管、腹透液、腹透外接管、腹透液引流袋、废液收集袋；</w:t>
      </w:r>
    </w:p>
    <w:p w14:paraId="40EDE130">
      <w:pPr>
        <w:overflowPunct w:val="0"/>
        <w:autoSpaceDE w:val="0"/>
        <w:autoSpaceDN w:val="0"/>
        <w:adjustRightInd w:val="0"/>
        <w:snapToGrid w:val="0"/>
        <w:spacing w:line="570" w:lineRule="exact"/>
        <w:ind w:firstLine="640" w:firstLineChars="200"/>
        <w:rPr>
          <w:rFonts w:ascii="仿宋_GB2312" w:hAnsi="Times New Roman" w:eastAsia="仿宋_GB2312"/>
          <w:sz w:val="32"/>
          <w:szCs w:val="32"/>
        </w:rPr>
      </w:pPr>
      <w:r>
        <w:rPr>
          <w:rFonts w:hint="eastAsia" w:ascii="仿宋_GB2312" w:hAnsi="Times New Roman" w:eastAsia="仿宋_GB2312"/>
          <w:sz w:val="32"/>
          <w:szCs w:val="32"/>
        </w:rPr>
        <w:t>3.透析患者相关药物治疗，包括基础疾病及并发症的治疗（含中、西药物，需提供治疗的实际病历及治疗票据，以下同）；</w:t>
      </w:r>
    </w:p>
    <w:p w14:paraId="745EF748">
      <w:pPr>
        <w:overflowPunct w:val="0"/>
        <w:autoSpaceDE w:val="0"/>
        <w:autoSpaceDN w:val="0"/>
        <w:adjustRightInd w:val="0"/>
        <w:snapToGrid w:val="0"/>
        <w:spacing w:line="570" w:lineRule="exact"/>
        <w:rPr>
          <w:rFonts w:ascii="仿宋_GB2312" w:hAnsi="Times New Roman" w:eastAsia="仿宋_GB2312"/>
          <w:kern w:val="0"/>
          <w:sz w:val="32"/>
          <w:szCs w:val="32"/>
        </w:rPr>
      </w:pPr>
      <w:r>
        <w:rPr>
          <w:rFonts w:hint="eastAsia" w:ascii="仿宋_GB2312" w:hAnsi="Times New Roman" w:eastAsia="仿宋_GB2312"/>
          <w:sz w:val="32"/>
          <w:szCs w:val="32"/>
        </w:rPr>
        <w:t xml:space="preserve">    4.透析治疗前后及透析期间的必要检查。</w:t>
      </w:r>
    </w:p>
    <w:p w14:paraId="3A9416E0">
      <w:pPr>
        <w:overflowPunct w:val="0"/>
        <w:autoSpaceDE w:val="0"/>
        <w:autoSpaceDN w:val="0"/>
        <w:adjustRightInd w:val="0"/>
        <w:snapToGrid w:val="0"/>
        <w:spacing w:line="570" w:lineRule="exact"/>
        <w:ind w:firstLine="640" w:firstLineChars="200"/>
        <w:rPr>
          <w:rFonts w:ascii="楷体_GB2312" w:hAnsi="Times New Roman" w:eastAsia="楷体_GB2312"/>
          <w:bCs/>
          <w:sz w:val="32"/>
          <w:szCs w:val="32"/>
        </w:rPr>
      </w:pPr>
      <w:r>
        <w:rPr>
          <w:rFonts w:hint="eastAsia" w:ascii="楷体_GB2312" w:hAnsi="Times New Roman" w:eastAsia="楷体_GB2312"/>
          <w:bCs/>
          <w:sz w:val="32"/>
          <w:szCs w:val="32"/>
        </w:rPr>
        <w:t>（四）复审期限</w:t>
      </w:r>
    </w:p>
    <w:p w14:paraId="531E85A2">
      <w:pPr>
        <w:pStyle w:val="12"/>
        <w:widowControl w:val="0"/>
        <w:overflowPunct w:val="0"/>
        <w:autoSpaceDE w:val="0"/>
        <w:autoSpaceDN w:val="0"/>
        <w:adjustRightInd w:val="0"/>
        <w:snapToGrid w:val="0"/>
        <w:spacing w:line="570" w:lineRule="exact"/>
        <w:jc w:val="both"/>
        <w:rPr>
          <w:rFonts w:ascii="仿宋_GB2312" w:hAnsi="Times New Roman" w:eastAsia="仿宋_GB2312"/>
          <w:bCs/>
          <w:sz w:val="32"/>
          <w:szCs w:val="32"/>
          <w:lang w:val="en"/>
        </w:rPr>
      </w:pPr>
      <w:r>
        <w:rPr>
          <w:rFonts w:hint="eastAsia" w:ascii="仿宋_GB2312" w:hAnsi="Times New Roman" w:eastAsia="仿宋_GB2312"/>
          <w:bCs/>
          <w:sz w:val="32"/>
          <w:szCs w:val="32"/>
        </w:rPr>
        <w:t xml:space="preserve">   </w:t>
      </w:r>
      <w:r>
        <w:rPr>
          <w:rFonts w:hint="eastAsia" w:ascii="仿宋_GB2312" w:hAnsi="仿宋_GB2312" w:eastAsia="仿宋_GB2312"/>
          <w:bCs/>
          <w:sz w:val="32"/>
          <w:szCs w:val="32"/>
          <w:lang w:val="en"/>
        </w:rPr>
        <w:t>长期。</w:t>
      </w:r>
    </w:p>
    <w:p w14:paraId="07B672C4">
      <w:pPr>
        <w:overflowPunct w:val="0"/>
        <w:autoSpaceDE w:val="0"/>
        <w:autoSpaceDN w:val="0"/>
        <w:adjustRightInd w:val="0"/>
        <w:snapToGrid w:val="0"/>
        <w:spacing w:line="570" w:lineRule="exact"/>
        <w:ind w:firstLine="640" w:firstLineChars="200"/>
        <w:rPr>
          <w:rFonts w:ascii="黑体" w:hAnsi="黑体" w:eastAsia="黑体"/>
          <w:bCs/>
          <w:sz w:val="32"/>
          <w:szCs w:val="32"/>
        </w:rPr>
      </w:pPr>
      <w:r>
        <w:rPr>
          <w:rFonts w:hint="eastAsia" w:ascii="黑体" w:hAnsi="黑体" w:eastAsia="黑体"/>
          <w:bCs/>
          <w:sz w:val="32"/>
          <w:szCs w:val="32"/>
        </w:rPr>
        <w:t>四十六、恶性肿瘤门诊治疗、恶性肿瘤（放化疗）</w:t>
      </w:r>
    </w:p>
    <w:p w14:paraId="0F9B7EF9">
      <w:pPr>
        <w:overflowPunct w:val="0"/>
        <w:autoSpaceDE w:val="0"/>
        <w:autoSpaceDN w:val="0"/>
        <w:adjustRightInd w:val="0"/>
        <w:snapToGrid w:val="0"/>
        <w:spacing w:line="570" w:lineRule="exact"/>
        <w:ind w:firstLine="630" w:firstLineChars="197"/>
        <w:rPr>
          <w:rFonts w:ascii="楷体_GB2312" w:hAnsi="Times New Roman" w:eastAsia="楷体_GB2312"/>
          <w:bCs/>
          <w:sz w:val="32"/>
          <w:szCs w:val="32"/>
        </w:rPr>
      </w:pPr>
      <w:r>
        <w:rPr>
          <w:rFonts w:hint="eastAsia" w:ascii="楷体_GB2312" w:hAnsi="Times New Roman" w:eastAsia="楷体_GB2312"/>
          <w:bCs/>
          <w:sz w:val="32"/>
          <w:szCs w:val="32"/>
        </w:rPr>
        <w:t>（一）申报资料</w:t>
      </w:r>
    </w:p>
    <w:p w14:paraId="5F6CE7AF">
      <w:pPr>
        <w:overflowPunct w:val="0"/>
        <w:autoSpaceDE w:val="0"/>
        <w:autoSpaceDN w:val="0"/>
        <w:adjustRightInd w:val="0"/>
        <w:snapToGrid w:val="0"/>
        <w:spacing w:line="570" w:lineRule="exact"/>
        <w:rPr>
          <w:rFonts w:ascii="仿宋_GB2312" w:hAnsi="Times New Roman" w:eastAsia="仿宋_GB2312"/>
          <w:kern w:val="0"/>
          <w:sz w:val="32"/>
          <w:szCs w:val="32"/>
        </w:rPr>
      </w:pPr>
      <w:r>
        <w:rPr>
          <w:rFonts w:hint="eastAsia" w:ascii="仿宋_GB2312" w:hAnsi="Times New Roman" w:eastAsia="仿宋_GB2312"/>
          <w:kern w:val="0"/>
          <w:sz w:val="32"/>
          <w:szCs w:val="32"/>
        </w:rPr>
        <w:t xml:space="preserve">    1.经医保定点医疗机构确诊的恶性肿瘤患者，提供相应的病理检查报告单。特殊情况无法取得病理，需要提供定点医院加盖公章的诊断证明书或出院证明书；</w:t>
      </w:r>
    </w:p>
    <w:p w14:paraId="5504A88B">
      <w:pPr>
        <w:overflowPunct w:val="0"/>
        <w:autoSpaceDE w:val="0"/>
        <w:autoSpaceDN w:val="0"/>
        <w:adjustRightInd w:val="0"/>
        <w:snapToGrid w:val="0"/>
        <w:spacing w:line="570" w:lineRule="exact"/>
        <w:rPr>
          <w:rFonts w:ascii="仿宋_GB2312" w:hAnsi="Times New Roman" w:eastAsia="仿宋_GB2312"/>
          <w:kern w:val="0"/>
          <w:sz w:val="32"/>
          <w:szCs w:val="32"/>
        </w:rPr>
      </w:pPr>
      <w:r>
        <w:rPr>
          <w:rFonts w:hint="eastAsia" w:ascii="仿宋_GB2312" w:hAnsi="Times New Roman" w:eastAsia="仿宋_GB2312"/>
          <w:kern w:val="0"/>
          <w:sz w:val="32"/>
          <w:szCs w:val="32"/>
        </w:rPr>
        <w:t xml:space="preserve">    2.提供</w:t>
      </w:r>
      <w:r>
        <w:rPr>
          <w:rFonts w:hint="eastAsia" w:ascii="仿宋_GB2312" w:hAnsi="Times New Roman" w:eastAsia="仿宋_GB2312"/>
          <w:sz w:val="32"/>
          <w:szCs w:val="32"/>
        </w:rPr>
        <w:t>医保定点医疗机构</w:t>
      </w:r>
      <w:r>
        <w:rPr>
          <w:rFonts w:hint="eastAsia" w:ascii="仿宋_GB2312" w:hAnsi="Times New Roman" w:eastAsia="仿宋_GB2312"/>
          <w:kern w:val="0"/>
          <w:sz w:val="32"/>
          <w:szCs w:val="32"/>
        </w:rPr>
        <w:t>患者本人近半年的与所申请病种相符合的住院病历或体检资料；</w:t>
      </w:r>
    </w:p>
    <w:p w14:paraId="46DA5BA0">
      <w:pPr>
        <w:overflowPunct w:val="0"/>
        <w:autoSpaceDE w:val="0"/>
        <w:autoSpaceDN w:val="0"/>
        <w:adjustRightInd w:val="0"/>
        <w:snapToGrid w:val="0"/>
        <w:spacing w:line="570" w:lineRule="exact"/>
        <w:rPr>
          <w:rFonts w:ascii="仿宋_GB2312" w:hAnsi="Times New Roman" w:eastAsia="仿宋_GB2312"/>
          <w:kern w:val="0"/>
          <w:sz w:val="32"/>
          <w:szCs w:val="32"/>
        </w:rPr>
      </w:pPr>
      <w:r>
        <w:rPr>
          <w:rFonts w:hint="eastAsia" w:ascii="仿宋_GB2312" w:hAnsi="Times New Roman" w:eastAsia="仿宋_GB2312"/>
          <w:kern w:val="0"/>
          <w:sz w:val="32"/>
          <w:szCs w:val="32"/>
        </w:rPr>
        <w:t xml:space="preserve">    3.医保定点医疗机构相关科室</w:t>
      </w:r>
      <w:r>
        <w:rPr>
          <w:rFonts w:hint="eastAsia" w:ascii="仿宋_GB2312" w:hAnsi="Times New Roman" w:eastAsia="仿宋_GB2312"/>
          <w:sz w:val="32"/>
          <w:szCs w:val="32"/>
        </w:rPr>
        <w:t>副主任医师以上（含副主任医师）</w:t>
      </w:r>
      <w:r>
        <w:rPr>
          <w:rFonts w:hint="eastAsia" w:ascii="仿宋_GB2312" w:hAnsi="Times New Roman" w:eastAsia="仿宋_GB2312"/>
          <w:kern w:val="0"/>
          <w:sz w:val="32"/>
          <w:szCs w:val="32"/>
        </w:rPr>
        <w:t>签名的治疗计划；</w:t>
      </w:r>
    </w:p>
    <w:p w14:paraId="45431D62">
      <w:pPr>
        <w:overflowPunct w:val="0"/>
        <w:autoSpaceDE w:val="0"/>
        <w:autoSpaceDN w:val="0"/>
        <w:adjustRightInd w:val="0"/>
        <w:snapToGrid w:val="0"/>
        <w:spacing w:line="570" w:lineRule="exact"/>
        <w:rPr>
          <w:rFonts w:ascii="仿宋_GB2312" w:hAnsi="Times New Roman" w:eastAsia="仿宋_GB2312"/>
          <w:kern w:val="0"/>
          <w:sz w:val="32"/>
          <w:szCs w:val="32"/>
        </w:rPr>
      </w:pPr>
      <w:r>
        <w:rPr>
          <w:rFonts w:hint="eastAsia" w:ascii="仿宋_GB2312" w:hAnsi="Times New Roman" w:eastAsia="仿宋_GB2312"/>
          <w:kern w:val="0"/>
          <w:sz w:val="32"/>
          <w:szCs w:val="32"/>
        </w:rPr>
        <w:t xml:space="preserve">    4.医保定点医疗机构加盖公章的诊断证明书。</w:t>
      </w:r>
    </w:p>
    <w:p w14:paraId="5039ADF1">
      <w:pPr>
        <w:overflowPunct w:val="0"/>
        <w:autoSpaceDE w:val="0"/>
        <w:autoSpaceDN w:val="0"/>
        <w:adjustRightInd w:val="0"/>
        <w:snapToGrid w:val="0"/>
        <w:spacing w:line="570" w:lineRule="exact"/>
        <w:ind w:firstLine="630" w:firstLineChars="197"/>
        <w:rPr>
          <w:rFonts w:ascii="楷体_GB2312" w:hAnsi="Times New Roman" w:eastAsia="楷体_GB2312"/>
          <w:bCs/>
          <w:sz w:val="32"/>
          <w:szCs w:val="32"/>
        </w:rPr>
      </w:pPr>
      <w:r>
        <w:rPr>
          <w:rFonts w:hint="eastAsia" w:ascii="楷体_GB2312" w:hAnsi="Times New Roman" w:eastAsia="楷体_GB2312"/>
          <w:bCs/>
          <w:sz w:val="32"/>
          <w:szCs w:val="32"/>
        </w:rPr>
        <w:t>（二）治疗指征（认定标准）</w:t>
      </w:r>
    </w:p>
    <w:p w14:paraId="62919490">
      <w:pPr>
        <w:overflowPunct w:val="0"/>
        <w:autoSpaceDE w:val="0"/>
        <w:autoSpaceDN w:val="0"/>
        <w:adjustRightInd w:val="0"/>
        <w:snapToGrid w:val="0"/>
        <w:spacing w:line="570" w:lineRule="exact"/>
        <w:rPr>
          <w:rFonts w:ascii="仿宋_GB2312" w:hAnsi="Times New Roman" w:eastAsia="仿宋_GB2312"/>
          <w:kern w:val="0"/>
          <w:sz w:val="32"/>
          <w:szCs w:val="32"/>
        </w:rPr>
      </w:pPr>
      <w:r>
        <w:rPr>
          <w:rFonts w:hint="eastAsia" w:ascii="仿宋_GB2312" w:hAnsi="Times New Roman" w:eastAsia="仿宋_GB2312"/>
          <w:kern w:val="0"/>
          <w:sz w:val="32"/>
          <w:szCs w:val="32"/>
        </w:rPr>
        <w:t xml:space="preserve">    1.经</w:t>
      </w:r>
      <w:r>
        <w:rPr>
          <w:rFonts w:hint="eastAsia" w:ascii="仿宋_GB2312" w:hAnsi="Times New Roman" w:eastAsia="仿宋_GB2312"/>
          <w:sz w:val="32"/>
          <w:szCs w:val="32"/>
        </w:rPr>
        <w:t>医保定点医疗机构</w:t>
      </w:r>
      <w:r>
        <w:rPr>
          <w:rFonts w:hint="eastAsia" w:ascii="仿宋_GB2312" w:hAnsi="Times New Roman" w:eastAsia="仿宋_GB2312"/>
          <w:kern w:val="0"/>
          <w:sz w:val="32"/>
          <w:szCs w:val="32"/>
        </w:rPr>
        <w:t>确诊的恶性肿瘤患者，有相应的病理检查报告；</w:t>
      </w:r>
    </w:p>
    <w:p w14:paraId="4935DB1B">
      <w:pPr>
        <w:overflowPunct w:val="0"/>
        <w:autoSpaceDE w:val="0"/>
        <w:autoSpaceDN w:val="0"/>
        <w:adjustRightInd w:val="0"/>
        <w:snapToGrid w:val="0"/>
        <w:spacing w:line="570" w:lineRule="exact"/>
        <w:ind w:firstLine="640" w:firstLineChars="200"/>
        <w:rPr>
          <w:rFonts w:ascii="仿宋_GB2312" w:hAnsi="Times New Roman" w:eastAsia="仿宋_GB2312"/>
          <w:kern w:val="0"/>
          <w:sz w:val="32"/>
          <w:szCs w:val="32"/>
        </w:rPr>
      </w:pPr>
      <w:r>
        <w:rPr>
          <w:rFonts w:hint="eastAsia" w:ascii="仿宋_GB2312" w:hAnsi="Times New Roman" w:eastAsia="仿宋_GB2312"/>
          <w:kern w:val="0"/>
          <w:sz w:val="32"/>
          <w:szCs w:val="32"/>
        </w:rPr>
        <w:t>2.特殊情况无法取得病理，需要根据临床症状、影像学检查、肿瘤标志物及多学科会诊后，经定点医院临床诊断为恶性肿瘤。</w:t>
      </w:r>
    </w:p>
    <w:p w14:paraId="31A82EAC">
      <w:pPr>
        <w:overflowPunct w:val="0"/>
        <w:autoSpaceDE w:val="0"/>
        <w:autoSpaceDN w:val="0"/>
        <w:adjustRightInd w:val="0"/>
        <w:snapToGrid w:val="0"/>
        <w:spacing w:line="570" w:lineRule="exact"/>
        <w:ind w:firstLine="640" w:firstLineChars="200"/>
        <w:rPr>
          <w:rFonts w:ascii="仿宋_GB2312" w:hAnsi="Times New Roman" w:eastAsia="仿宋_GB2312"/>
          <w:kern w:val="0"/>
          <w:sz w:val="32"/>
          <w:szCs w:val="32"/>
        </w:rPr>
      </w:pPr>
      <w:r>
        <w:rPr>
          <w:rFonts w:hint="eastAsia" w:ascii="仿宋_GB2312" w:hAnsi="Times New Roman" w:eastAsia="仿宋_GB2312"/>
          <w:kern w:val="0"/>
          <w:sz w:val="32"/>
          <w:szCs w:val="32"/>
        </w:rPr>
        <w:t>满足以上任何一条均可。</w:t>
      </w:r>
    </w:p>
    <w:p w14:paraId="5805AB59">
      <w:pPr>
        <w:overflowPunct w:val="0"/>
        <w:autoSpaceDE w:val="0"/>
        <w:autoSpaceDN w:val="0"/>
        <w:adjustRightInd w:val="0"/>
        <w:snapToGrid w:val="0"/>
        <w:spacing w:line="570" w:lineRule="exact"/>
        <w:ind w:firstLine="630" w:firstLineChars="197"/>
        <w:rPr>
          <w:rFonts w:ascii="楷体_GB2312" w:hAnsi="Times New Roman" w:eastAsia="楷体_GB2312"/>
          <w:bCs/>
          <w:sz w:val="32"/>
          <w:szCs w:val="32"/>
        </w:rPr>
      </w:pPr>
      <w:r>
        <w:rPr>
          <w:rFonts w:hint="eastAsia" w:ascii="楷体_GB2312" w:hAnsi="Times New Roman" w:eastAsia="楷体_GB2312"/>
          <w:bCs/>
          <w:sz w:val="32"/>
          <w:szCs w:val="32"/>
        </w:rPr>
        <w:t>（三）门诊诊疗范围</w:t>
      </w:r>
    </w:p>
    <w:p w14:paraId="7B181530">
      <w:pPr>
        <w:overflowPunct w:val="0"/>
        <w:autoSpaceDE w:val="0"/>
        <w:autoSpaceDN w:val="0"/>
        <w:adjustRightInd w:val="0"/>
        <w:snapToGrid w:val="0"/>
        <w:spacing w:line="570" w:lineRule="exact"/>
        <w:rPr>
          <w:rFonts w:ascii="仿宋_GB2312" w:hAnsi="Times New Roman" w:eastAsia="仿宋_GB2312"/>
          <w:kern w:val="0"/>
          <w:sz w:val="32"/>
          <w:szCs w:val="32"/>
        </w:rPr>
      </w:pPr>
      <w:r>
        <w:rPr>
          <w:rFonts w:hint="eastAsia" w:ascii="仿宋_GB2312" w:hAnsi="Times New Roman" w:eastAsia="仿宋_GB2312"/>
          <w:kern w:val="0"/>
          <w:sz w:val="32"/>
          <w:szCs w:val="32"/>
        </w:rPr>
        <w:t xml:space="preserve">    1.恶性肿瘤门诊治疗：无需或不适宜进行放化疗，但仍需要长期进行内分泌治疗（主要是乳腺癌及前列腺癌）或者进行免疫治疗、靶向治疗或定期门诊检查或护理的恶性肿瘤患者；</w:t>
      </w:r>
    </w:p>
    <w:p w14:paraId="5C6772AD">
      <w:pPr>
        <w:overflowPunct w:val="0"/>
        <w:autoSpaceDE w:val="0"/>
        <w:autoSpaceDN w:val="0"/>
        <w:adjustRightInd w:val="0"/>
        <w:snapToGrid w:val="0"/>
        <w:spacing w:line="570" w:lineRule="exact"/>
        <w:rPr>
          <w:rFonts w:ascii="仿宋_GB2312" w:hAnsi="Times New Roman" w:eastAsia="仿宋_GB2312"/>
          <w:kern w:val="0"/>
          <w:sz w:val="32"/>
          <w:szCs w:val="32"/>
        </w:rPr>
      </w:pPr>
      <w:r>
        <w:rPr>
          <w:rFonts w:hint="eastAsia" w:ascii="仿宋_GB2312" w:hAnsi="Times New Roman" w:eastAsia="仿宋_GB2312"/>
          <w:kern w:val="0"/>
          <w:sz w:val="32"/>
          <w:szCs w:val="32"/>
        </w:rPr>
        <w:t xml:space="preserve">    2.恶性肿瘤（放化疗）：包括各类肿瘤的化疗、放疗、灌注治疗。</w:t>
      </w:r>
    </w:p>
    <w:p w14:paraId="18CF84D2">
      <w:pPr>
        <w:overflowPunct w:val="0"/>
        <w:autoSpaceDE w:val="0"/>
        <w:autoSpaceDN w:val="0"/>
        <w:adjustRightInd w:val="0"/>
        <w:snapToGrid w:val="0"/>
        <w:spacing w:line="570" w:lineRule="exact"/>
        <w:ind w:firstLine="630" w:firstLineChars="197"/>
        <w:rPr>
          <w:rFonts w:ascii="楷体_GB2312" w:hAnsi="Times New Roman" w:eastAsia="楷体_GB2312"/>
          <w:bCs/>
          <w:sz w:val="32"/>
          <w:szCs w:val="32"/>
        </w:rPr>
      </w:pPr>
      <w:r>
        <w:rPr>
          <w:rFonts w:hint="eastAsia" w:ascii="楷体_GB2312" w:hAnsi="Times New Roman" w:eastAsia="楷体_GB2312"/>
          <w:bCs/>
          <w:sz w:val="32"/>
          <w:szCs w:val="32"/>
        </w:rPr>
        <w:t>（四）复审期限</w:t>
      </w:r>
    </w:p>
    <w:p w14:paraId="4BAA471D">
      <w:pPr>
        <w:overflowPunct w:val="0"/>
        <w:autoSpaceDE w:val="0"/>
        <w:autoSpaceDN w:val="0"/>
        <w:adjustRightInd w:val="0"/>
        <w:snapToGrid w:val="0"/>
        <w:spacing w:line="570" w:lineRule="exact"/>
        <w:rPr>
          <w:rFonts w:ascii="仿宋_GB2312" w:hAnsi="Times New Roman" w:eastAsia="仿宋_GB2312"/>
          <w:sz w:val="32"/>
          <w:szCs w:val="32"/>
        </w:rPr>
      </w:pPr>
      <w:r>
        <w:rPr>
          <w:rFonts w:hint="eastAsia" w:ascii="仿宋_GB2312" w:hAnsi="Times New Roman" w:eastAsia="仿宋_GB2312"/>
          <w:bCs/>
          <w:sz w:val="32"/>
          <w:szCs w:val="32"/>
        </w:rPr>
        <w:t xml:space="preserve">    每2年复审一次。</w:t>
      </w:r>
    </w:p>
    <w:p w14:paraId="076C9FF7">
      <w:pPr>
        <w:overflowPunct w:val="0"/>
        <w:autoSpaceDE w:val="0"/>
        <w:autoSpaceDN w:val="0"/>
        <w:adjustRightInd w:val="0"/>
        <w:snapToGrid w:val="0"/>
        <w:spacing w:line="570" w:lineRule="exact"/>
        <w:ind w:firstLine="640" w:firstLineChars="200"/>
        <w:rPr>
          <w:rFonts w:ascii="黑体" w:hAnsi="黑体" w:eastAsia="黑体"/>
          <w:kern w:val="0"/>
          <w:sz w:val="32"/>
          <w:szCs w:val="32"/>
          <w:lang w:eastAsia="zh-Hans" w:bidi="ar"/>
        </w:rPr>
      </w:pPr>
      <w:r>
        <w:rPr>
          <w:rFonts w:hint="eastAsia" w:ascii="黑体" w:hAnsi="黑体" w:eastAsia="黑体"/>
          <w:sz w:val="32"/>
          <w:szCs w:val="32"/>
        </w:rPr>
        <w:t>四十七、器官移植抗排异治疗</w:t>
      </w:r>
    </w:p>
    <w:p w14:paraId="4A2C7800">
      <w:pPr>
        <w:overflowPunct w:val="0"/>
        <w:autoSpaceDE w:val="0"/>
        <w:autoSpaceDN w:val="0"/>
        <w:adjustRightInd w:val="0"/>
        <w:snapToGrid w:val="0"/>
        <w:spacing w:line="570" w:lineRule="exact"/>
        <w:ind w:firstLine="630" w:firstLineChars="197"/>
        <w:rPr>
          <w:rFonts w:ascii="楷体_GB2312" w:hAnsi="Times New Roman" w:eastAsia="楷体_GB2312"/>
          <w:bCs/>
          <w:sz w:val="32"/>
          <w:szCs w:val="32"/>
        </w:rPr>
      </w:pPr>
      <w:r>
        <w:rPr>
          <w:rFonts w:hint="eastAsia" w:ascii="楷体_GB2312" w:hAnsi="Times New Roman" w:eastAsia="楷体_GB2312"/>
          <w:bCs/>
          <w:sz w:val="32"/>
          <w:szCs w:val="32"/>
        </w:rPr>
        <w:t>（一）申报资料</w:t>
      </w:r>
    </w:p>
    <w:p w14:paraId="5C32B161">
      <w:pPr>
        <w:overflowPunct w:val="0"/>
        <w:autoSpaceDE w:val="0"/>
        <w:autoSpaceDN w:val="0"/>
        <w:adjustRightInd w:val="0"/>
        <w:snapToGrid w:val="0"/>
        <w:spacing w:line="570" w:lineRule="exact"/>
        <w:ind w:firstLine="640" w:firstLineChars="200"/>
        <w:rPr>
          <w:rFonts w:ascii="仿宋_GB2312" w:hAnsi="Times New Roman" w:eastAsia="仿宋_GB2312"/>
          <w:kern w:val="0"/>
          <w:sz w:val="32"/>
          <w:szCs w:val="32"/>
        </w:rPr>
      </w:pPr>
      <w:r>
        <w:rPr>
          <w:rFonts w:hint="eastAsia" w:ascii="仿宋_GB2312" w:hAnsi="Times New Roman" w:eastAsia="仿宋_GB2312"/>
          <w:kern w:val="0"/>
          <w:sz w:val="32"/>
          <w:szCs w:val="32"/>
        </w:rPr>
        <w:t>1.有器官移植手术史（限心脏、肝、肺、肾、造血干细胞移植），提供器官移植术住院病历、手术记录；</w:t>
      </w:r>
    </w:p>
    <w:p w14:paraId="131A0D7C">
      <w:pPr>
        <w:overflowPunct w:val="0"/>
        <w:autoSpaceDE w:val="0"/>
        <w:autoSpaceDN w:val="0"/>
        <w:adjustRightInd w:val="0"/>
        <w:snapToGrid w:val="0"/>
        <w:spacing w:line="570" w:lineRule="exact"/>
        <w:ind w:firstLine="640" w:firstLineChars="200"/>
        <w:rPr>
          <w:rFonts w:ascii="仿宋_GB2312" w:hAnsi="Times New Roman" w:eastAsia="仿宋_GB2312"/>
          <w:kern w:val="0"/>
          <w:sz w:val="32"/>
          <w:szCs w:val="32"/>
        </w:rPr>
      </w:pPr>
      <w:r>
        <w:rPr>
          <w:rFonts w:hint="eastAsia" w:ascii="仿宋_GB2312" w:hAnsi="Times New Roman" w:eastAsia="仿宋_GB2312"/>
          <w:kern w:val="0"/>
          <w:sz w:val="32"/>
          <w:szCs w:val="32"/>
        </w:rPr>
        <w:t>2.相关实验室检查资料（相关化验、血清学检查）或影像学检查等；</w:t>
      </w:r>
    </w:p>
    <w:p w14:paraId="5989D92C">
      <w:pPr>
        <w:overflowPunct w:val="0"/>
        <w:autoSpaceDE w:val="0"/>
        <w:autoSpaceDN w:val="0"/>
        <w:adjustRightInd w:val="0"/>
        <w:snapToGrid w:val="0"/>
        <w:spacing w:line="570" w:lineRule="exact"/>
        <w:ind w:firstLine="640" w:firstLineChars="200"/>
        <w:rPr>
          <w:rFonts w:ascii="仿宋_GB2312" w:hAnsi="Times New Roman" w:eastAsia="仿宋_GB2312"/>
          <w:sz w:val="32"/>
          <w:szCs w:val="32"/>
        </w:rPr>
      </w:pPr>
      <w:r>
        <w:rPr>
          <w:rFonts w:hint="eastAsia" w:ascii="仿宋_GB2312" w:hAnsi="Times New Roman" w:eastAsia="仿宋_GB2312"/>
          <w:kern w:val="0"/>
          <w:sz w:val="32"/>
          <w:szCs w:val="32"/>
        </w:rPr>
        <w:t>3.医保定点医疗机构相关科室主治医师以上（含主治医师）签名的诊疗计划和有效诊断证明。</w:t>
      </w:r>
    </w:p>
    <w:p w14:paraId="75DBCA11">
      <w:pPr>
        <w:overflowPunct w:val="0"/>
        <w:autoSpaceDE w:val="0"/>
        <w:autoSpaceDN w:val="0"/>
        <w:adjustRightInd w:val="0"/>
        <w:snapToGrid w:val="0"/>
        <w:spacing w:line="570" w:lineRule="exact"/>
        <w:ind w:firstLine="630" w:firstLineChars="197"/>
        <w:rPr>
          <w:rFonts w:ascii="楷体_GB2312" w:hAnsi="Times New Roman" w:eastAsia="楷体_GB2312"/>
          <w:bCs/>
          <w:sz w:val="32"/>
          <w:szCs w:val="32"/>
        </w:rPr>
      </w:pPr>
      <w:r>
        <w:rPr>
          <w:rFonts w:hint="eastAsia" w:ascii="楷体_GB2312" w:hAnsi="Times New Roman" w:eastAsia="楷体_GB2312"/>
          <w:bCs/>
          <w:sz w:val="32"/>
          <w:szCs w:val="32"/>
        </w:rPr>
        <w:t>（二）治疗指征（认定标准）</w:t>
      </w:r>
    </w:p>
    <w:p w14:paraId="7DF6D6BB">
      <w:pPr>
        <w:overflowPunct w:val="0"/>
        <w:autoSpaceDE w:val="0"/>
        <w:autoSpaceDN w:val="0"/>
        <w:adjustRightInd w:val="0"/>
        <w:snapToGrid w:val="0"/>
        <w:spacing w:line="570" w:lineRule="exact"/>
        <w:ind w:firstLine="630" w:firstLineChars="197"/>
        <w:rPr>
          <w:rFonts w:ascii="仿宋_GB2312" w:hAnsi="Times New Roman" w:eastAsia="仿宋_GB2312"/>
          <w:kern w:val="0"/>
          <w:sz w:val="32"/>
          <w:szCs w:val="32"/>
        </w:rPr>
      </w:pPr>
      <w:r>
        <w:rPr>
          <w:rFonts w:hint="eastAsia" w:ascii="仿宋_GB2312" w:hAnsi="Times New Roman" w:eastAsia="仿宋_GB2312"/>
          <w:kern w:val="0"/>
          <w:sz w:val="32"/>
          <w:szCs w:val="32"/>
        </w:rPr>
        <w:t>诊断结合病史、临床表现、实验室检查（相关化验、血清学检专）结果，需持续服用抗排异药物治疗的患者。</w:t>
      </w:r>
    </w:p>
    <w:p w14:paraId="78D481FE">
      <w:pPr>
        <w:overflowPunct w:val="0"/>
        <w:autoSpaceDE w:val="0"/>
        <w:autoSpaceDN w:val="0"/>
        <w:adjustRightInd w:val="0"/>
        <w:snapToGrid w:val="0"/>
        <w:spacing w:line="570" w:lineRule="exact"/>
        <w:ind w:firstLine="630" w:firstLineChars="197"/>
        <w:rPr>
          <w:rFonts w:ascii="楷体_GB2312" w:hAnsi="Times New Roman" w:eastAsia="楷体_GB2312"/>
          <w:bCs/>
          <w:sz w:val="32"/>
          <w:szCs w:val="32"/>
        </w:rPr>
      </w:pPr>
      <w:r>
        <w:rPr>
          <w:rFonts w:hint="eastAsia" w:ascii="楷体_GB2312" w:hAnsi="Times New Roman" w:eastAsia="楷体_GB2312"/>
          <w:bCs/>
          <w:sz w:val="32"/>
          <w:szCs w:val="32"/>
        </w:rPr>
        <w:t>（三）门诊诊疗范围</w:t>
      </w:r>
    </w:p>
    <w:p w14:paraId="4A51F50E">
      <w:pPr>
        <w:overflowPunct w:val="0"/>
        <w:autoSpaceDE w:val="0"/>
        <w:autoSpaceDN w:val="0"/>
        <w:adjustRightInd w:val="0"/>
        <w:snapToGrid w:val="0"/>
        <w:spacing w:line="570" w:lineRule="exact"/>
        <w:rPr>
          <w:rFonts w:ascii="仿宋_GB2312" w:hAnsi="Times New Roman" w:eastAsia="仿宋_GB2312"/>
          <w:kern w:val="0"/>
          <w:sz w:val="32"/>
          <w:szCs w:val="32"/>
        </w:rPr>
      </w:pPr>
      <w:r>
        <w:rPr>
          <w:rFonts w:hint="eastAsia" w:ascii="仿宋_GB2312" w:hAnsi="Times New Roman" w:eastAsia="仿宋_GB2312"/>
          <w:kern w:val="0"/>
          <w:sz w:val="32"/>
          <w:szCs w:val="32"/>
        </w:rPr>
        <w:t xml:space="preserve">    1.针对病因，选用相关药物治疗；</w:t>
      </w:r>
    </w:p>
    <w:p w14:paraId="78A60722">
      <w:pPr>
        <w:overflowPunct w:val="0"/>
        <w:autoSpaceDE w:val="0"/>
        <w:autoSpaceDN w:val="0"/>
        <w:adjustRightInd w:val="0"/>
        <w:snapToGrid w:val="0"/>
        <w:spacing w:line="570" w:lineRule="exact"/>
        <w:ind w:firstLine="640" w:firstLineChars="200"/>
        <w:rPr>
          <w:rFonts w:ascii="仿宋_GB2312" w:hAnsi="Times New Roman" w:eastAsia="仿宋_GB2312"/>
          <w:kern w:val="0"/>
          <w:sz w:val="32"/>
          <w:szCs w:val="32"/>
        </w:rPr>
      </w:pPr>
      <w:r>
        <w:rPr>
          <w:rFonts w:hint="eastAsia" w:ascii="仿宋_GB2312" w:hAnsi="Times New Roman" w:eastAsia="仿宋_GB2312"/>
          <w:kern w:val="0"/>
          <w:sz w:val="32"/>
          <w:szCs w:val="32"/>
        </w:rPr>
        <w:t>2.急性期治疗，局部和全身并发症的治疗；</w:t>
      </w:r>
    </w:p>
    <w:p w14:paraId="5F407E8E">
      <w:pPr>
        <w:pStyle w:val="15"/>
        <w:overflowPunct w:val="0"/>
        <w:autoSpaceDE w:val="0"/>
        <w:autoSpaceDN w:val="0"/>
        <w:adjustRightInd w:val="0"/>
        <w:snapToGrid w:val="0"/>
        <w:spacing w:line="570" w:lineRule="exact"/>
        <w:ind w:firstLine="0" w:firstLineChars="0"/>
        <w:rPr>
          <w:rFonts w:ascii="仿宋_GB2312" w:hAnsi="Times New Roman" w:eastAsia="仿宋_GB2312"/>
          <w:kern w:val="0"/>
          <w:sz w:val="32"/>
          <w:szCs w:val="32"/>
        </w:rPr>
      </w:pPr>
      <w:r>
        <w:rPr>
          <w:rFonts w:hint="eastAsia" w:ascii="仿宋_GB2312" w:hAnsi="Times New Roman" w:eastAsia="仿宋_GB2312"/>
          <w:kern w:val="0"/>
          <w:sz w:val="32"/>
          <w:szCs w:val="32"/>
        </w:rPr>
        <w:t xml:space="preserve">    3.治疗期间和治疗后的相关检查。</w:t>
      </w:r>
    </w:p>
    <w:p w14:paraId="1E227095">
      <w:pPr>
        <w:overflowPunct w:val="0"/>
        <w:autoSpaceDE w:val="0"/>
        <w:autoSpaceDN w:val="0"/>
        <w:adjustRightInd w:val="0"/>
        <w:snapToGrid w:val="0"/>
        <w:spacing w:line="570" w:lineRule="exact"/>
        <w:ind w:firstLine="630" w:firstLineChars="197"/>
        <w:rPr>
          <w:rFonts w:ascii="楷体_GB2312" w:hAnsi="Times New Roman" w:eastAsia="楷体_GB2312"/>
          <w:bCs/>
          <w:sz w:val="32"/>
          <w:szCs w:val="32"/>
        </w:rPr>
      </w:pPr>
      <w:r>
        <w:rPr>
          <w:rFonts w:hint="eastAsia" w:ascii="楷体_GB2312" w:hAnsi="Times New Roman" w:eastAsia="楷体_GB2312"/>
          <w:bCs/>
          <w:sz w:val="32"/>
          <w:szCs w:val="32"/>
        </w:rPr>
        <w:t>（四）复审期限</w:t>
      </w:r>
    </w:p>
    <w:p w14:paraId="345851EB">
      <w:pPr>
        <w:pStyle w:val="12"/>
        <w:widowControl w:val="0"/>
        <w:overflowPunct w:val="0"/>
        <w:autoSpaceDE w:val="0"/>
        <w:autoSpaceDN w:val="0"/>
        <w:adjustRightInd w:val="0"/>
        <w:snapToGrid w:val="0"/>
        <w:spacing w:line="570" w:lineRule="exact"/>
        <w:jc w:val="both"/>
        <w:rPr>
          <w:rFonts w:ascii="仿宋_GB2312" w:hAnsi="Times New Roman" w:eastAsia="仿宋_GB2312"/>
          <w:bCs/>
          <w:sz w:val="32"/>
          <w:szCs w:val="32"/>
        </w:rPr>
      </w:pPr>
      <w:r>
        <w:rPr>
          <w:rFonts w:hint="eastAsia" w:ascii="仿宋_GB2312" w:hAnsi="Times New Roman" w:eastAsia="仿宋_GB2312"/>
          <w:bCs/>
          <w:sz w:val="32"/>
          <w:szCs w:val="32"/>
        </w:rPr>
        <w:t xml:space="preserve">   长期。</w:t>
      </w:r>
    </w:p>
    <w:p w14:paraId="7D7CB7D1">
      <w:pPr>
        <w:pStyle w:val="2"/>
        <w:spacing w:after="0" w:line="460" w:lineRule="exact"/>
        <w:ind w:left="0" w:leftChars="0" w:firstLine="160" w:firstLineChars="50"/>
        <w:rPr>
          <w:rFonts w:ascii="黑体" w:hAnsi="黑体" w:eastAsia="黑体" w:cs="仿宋_GB2312"/>
          <w:sz w:val="32"/>
          <w:szCs w:val="32"/>
        </w:rPr>
      </w:pPr>
      <w:r>
        <w:rPr>
          <w:rFonts w:ascii="黑体" w:hAnsi="黑体" w:eastAsia="黑体" w:cs="仿宋_GB2312"/>
          <w:sz w:val="32"/>
          <w:szCs w:val="32"/>
        </w:rPr>
        <w:br w:type="page"/>
      </w:r>
    </w:p>
    <w:p w14:paraId="529F9A75">
      <w:pPr>
        <w:overflowPunct w:val="0"/>
        <w:autoSpaceDE w:val="0"/>
        <w:autoSpaceDN w:val="0"/>
        <w:adjustRightInd w:val="0"/>
        <w:snapToGrid w:val="0"/>
        <w:spacing w:line="400" w:lineRule="exact"/>
        <w:rPr>
          <w:rFonts w:hint="eastAsia" w:ascii="黑体" w:hAnsi="黑体" w:eastAsia="黑体" w:cs="仿宋_GB2312"/>
          <w:sz w:val="32"/>
          <w:szCs w:val="32"/>
        </w:rPr>
      </w:pPr>
    </w:p>
    <w:p w14:paraId="0F45C126">
      <w:pPr>
        <w:overflowPunct w:val="0"/>
        <w:autoSpaceDE w:val="0"/>
        <w:autoSpaceDN w:val="0"/>
        <w:adjustRightInd w:val="0"/>
        <w:snapToGrid w:val="0"/>
        <w:spacing w:line="400" w:lineRule="exact"/>
        <w:rPr>
          <w:rFonts w:ascii="黑体" w:hAnsi="黑体" w:eastAsia="黑体" w:cs="仿宋_GB2312"/>
          <w:sz w:val="32"/>
          <w:szCs w:val="32"/>
        </w:rPr>
      </w:pPr>
      <w:r>
        <w:rPr>
          <w:rFonts w:hint="eastAsia" w:ascii="黑体" w:hAnsi="黑体" w:eastAsia="黑体" w:cs="仿宋_GB2312"/>
          <w:sz w:val="32"/>
          <w:szCs w:val="32"/>
        </w:rPr>
        <w:t>附件3</w:t>
      </w:r>
    </w:p>
    <w:p w14:paraId="0FA823EF">
      <w:pPr>
        <w:pStyle w:val="2"/>
        <w:spacing w:before="161" w:beforeLines="50" w:line="500" w:lineRule="exact"/>
        <w:ind w:left="0" w:leftChars="0"/>
        <w:jc w:val="center"/>
        <w:rPr>
          <w:rFonts w:ascii="方正小标宋简体" w:eastAsia="方正小标宋简体"/>
          <w:sz w:val="42"/>
          <w:szCs w:val="42"/>
        </w:rPr>
      </w:pPr>
      <w:r>
        <w:rPr>
          <w:rFonts w:hint="eastAsia" w:ascii="方正小标宋简体" w:eastAsia="方正小标宋简体"/>
          <w:sz w:val="42"/>
          <w:szCs w:val="42"/>
        </w:rPr>
        <w:t>甘肃省基本医疗保险门诊慢特病申请表</w:t>
      </w:r>
    </w:p>
    <w:tbl>
      <w:tblPr>
        <w:tblStyle w:val="13"/>
        <w:tblW w:w="8737" w:type="dxa"/>
        <w:jc w:val="center"/>
        <w:tblLayout w:type="fixed"/>
        <w:tblCellMar>
          <w:top w:w="0" w:type="dxa"/>
          <w:left w:w="0" w:type="dxa"/>
          <w:bottom w:w="0" w:type="dxa"/>
          <w:right w:w="0" w:type="dxa"/>
        </w:tblCellMar>
      </w:tblPr>
      <w:tblGrid>
        <w:gridCol w:w="1483"/>
        <w:gridCol w:w="1392"/>
        <w:gridCol w:w="1275"/>
        <w:gridCol w:w="1560"/>
        <w:gridCol w:w="1417"/>
        <w:gridCol w:w="1610"/>
      </w:tblGrid>
      <w:tr w14:paraId="14319CAE">
        <w:tblPrEx>
          <w:tblCellMar>
            <w:top w:w="0" w:type="dxa"/>
            <w:left w:w="0" w:type="dxa"/>
            <w:bottom w:w="0" w:type="dxa"/>
            <w:right w:w="0" w:type="dxa"/>
          </w:tblCellMar>
        </w:tblPrEx>
        <w:trPr>
          <w:trHeight w:val="567" w:hRule="atLeast"/>
          <w:jc w:val="center"/>
        </w:trPr>
        <w:tc>
          <w:tcPr>
            <w:tcW w:w="1483" w:type="dxa"/>
            <w:tcBorders>
              <w:top w:val="single" w:color="auto" w:sz="4" w:space="0"/>
              <w:left w:val="single" w:color="auto" w:sz="4" w:space="0"/>
              <w:bottom w:val="single" w:color="auto" w:sz="4" w:space="0"/>
              <w:right w:val="single" w:color="auto" w:sz="4" w:space="0"/>
            </w:tcBorders>
            <w:noWrap/>
            <w:tcMar>
              <w:top w:w="0" w:type="dxa"/>
              <w:left w:w="0" w:type="dxa"/>
              <w:bottom w:w="0" w:type="dxa"/>
              <w:right w:w="0" w:type="dxa"/>
            </w:tcMar>
            <w:vAlign w:val="center"/>
          </w:tcPr>
          <w:p w14:paraId="41E66B11">
            <w:pPr>
              <w:adjustRightInd w:val="0"/>
              <w:spacing w:line="400" w:lineRule="exact"/>
              <w:jc w:val="center"/>
              <w:rPr>
                <w:rFonts w:ascii="仿宋_GB2312" w:hAnsi="宋体" w:eastAsia="仿宋_GB2312" w:cs="宋体"/>
                <w:sz w:val="28"/>
                <w:szCs w:val="28"/>
              </w:rPr>
            </w:pPr>
            <w:r>
              <w:rPr>
                <w:rFonts w:hint="eastAsia" w:ascii="仿宋_GB2312" w:eastAsia="仿宋_GB2312"/>
                <w:sz w:val="28"/>
                <w:szCs w:val="28"/>
              </w:rPr>
              <w:t>姓名</w:t>
            </w:r>
          </w:p>
        </w:tc>
        <w:tc>
          <w:tcPr>
            <w:tcW w:w="1392" w:type="dxa"/>
            <w:tcBorders>
              <w:top w:val="single" w:color="auto" w:sz="4" w:space="0"/>
              <w:left w:val="nil"/>
              <w:bottom w:val="single" w:color="auto" w:sz="4" w:space="0"/>
              <w:right w:val="single" w:color="auto" w:sz="4" w:space="0"/>
            </w:tcBorders>
            <w:noWrap/>
            <w:tcMar>
              <w:top w:w="0" w:type="dxa"/>
              <w:left w:w="0" w:type="dxa"/>
              <w:bottom w:w="0" w:type="dxa"/>
              <w:right w:w="0" w:type="dxa"/>
            </w:tcMar>
            <w:vAlign w:val="center"/>
          </w:tcPr>
          <w:p w14:paraId="25E8CFE3">
            <w:pPr>
              <w:adjustRightInd w:val="0"/>
              <w:spacing w:line="400" w:lineRule="exact"/>
              <w:jc w:val="center"/>
              <w:rPr>
                <w:rFonts w:ascii="仿宋_GB2312" w:hAnsi="宋体" w:eastAsia="仿宋_GB2312" w:cs="宋体"/>
                <w:sz w:val="28"/>
                <w:szCs w:val="28"/>
              </w:rPr>
            </w:pPr>
            <w:r>
              <w:rPr>
                <w:rFonts w:hint="eastAsia" w:ascii="仿宋_GB2312" w:eastAsia="仿宋_GB2312"/>
                <w:sz w:val="28"/>
                <w:szCs w:val="28"/>
              </w:rPr>
              <w:t>　</w:t>
            </w:r>
          </w:p>
        </w:tc>
        <w:tc>
          <w:tcPr>
            <w:tcW w:w="1275" w:type="dxa"/>
            <w:tcBorders>
              <w:top w:val="single" w:color="auto" w:sz="4" w:space="0"/>
              <w:left w:val="nil"/>
              <w:bottom w:val="single" w:color="auto" w:sz="4" w:space="0"/>
              <w:right w:val="single" w:color="auto" w:sz="4" w:space="0"/>
            </w:tcBorders>
            <w:noWrap/>
            <w:tcMar>
              <w:top w:w="0" w:type="dxa"/>
              <w:left w:w="0" w:type="dxa"/>
              <w:bottom w:w="0" w:type="dxa"/>
              <w:right w:w="0" w:type="dxa"/>
            </w:tcMar>
            <w:vAlign w:val="center"/>
          </w:tcPr>
          <w:p w14:paraId="19B85B28">
            <w:pPr>
              <w:adjustRightInd w:val="0"/>
              <w:spacing w:line="400" w:lineRule="exact"/>
              <w:jc w:val="center"/>
              <w:rPr>
                <w:rFonts w:ascii="仿宋_GB2312" w:hAnsi="宋体" w:eastAsia="仿宋_GB2312" w:cs="宋体"/>
                <w:sz w:val="28"/>
                <w:szCs w:val="28"/>
              </w:rPr>
            </w:pPr>
            <w:r>
              <w:rPr>
                <w:rFonts w:hint="eastAsia" w:ascii="仿宋_GB2312" w:eastAsia="仿宋_GB2312"/>
                <w:sz w:val="28"/>
                <w:szCs w:val="28"/>
              </w:rPr>
              <w:t>性别</w:t>
            </w:r>
          </w:p>
        </w:tc>
        <w:tc>
          <w:tcPr>
            <w:tcW w:w="1560" w:type="dxa"/>
            <w:tcBorders>
              <w:top w:val="single" w:color="auto" w:sz="4" w:space="0"/>
              <w:left w:val="nil"/>
              <w:bottom w:val="single" w:color="auto" w:sz="4" w:space="0"/>
              <w:right w:val="single" w:color="auto" w:sz="4" w:space="0"/>
            </w:tcBorders>
            <w:noWrap/>
            <w:tcMar>
              <w:top w:w="0" w:type="dxa"/>
              <w:left w:w="0" w:type="dxa"/>
              <w:bottom w:w="0" w:type="dxa"/>
              <w:right w:w="0" w:type="dxa"/>
            </w:tcMar>
            <w:vAlign w:val="center"/>
          </w:tcPr>
          <w:p w14:paraId="1D5EB069">
            <w:pPr>
              <w:adjustRightInd w:val="0"/>
              <w:spacing w:line="400" w:lineRule="exact"/>
              <w:jc w:val="center"/>
              <w:rPr>
                <w:rFonts w:ascii="仿宋_GB2312" w:hAnsi="宋体" w:eastAsia="仿宋_GB2312" w:cs="宋体"/>
                <w:sz w:val="28"/>
                <w:szCs w:val="28"/>
              </w:rPr>
            </w:pPr>
            <w:r>
              <w:rPr>
                <w:rFonts w:hint="eastAsia" w:ascii="仿宋_GB2312" w:eastAsia="仿宋_GB2312"/>
                <w:sz w:val="28"/>
                <w:szCs w:val="28"/>
              </w:rPr>
              <w:t>　</w:t>
            </w:r>
          </w:p>
        </w:tc>
        <w:tc>
          <w:tcPr>
            <w:tcW w:w="1417" w:type="dxa"/>
            <w:tcBorders>
              <w:top w:val="single" w:color="auto" w:sz="4" w:space="0"/>
              <w:left w:val="nil"/>
              <w:bottom w:val="single" w:color="auto" w:sz="4" w:space="0"/>
              <w:right w:val="single" w:color="auto" w:sz="4" w:space="0"/>
            </w:tcBorders>
            <w:noWrap/>
            <w:tcMar>
              <w:top w:w="0" w:type="dxa"/>
              <w:left w:w="0" w:type="dxa"/>
              <w:bottom w:w="0" w:type="dxa"/>
              <w:right w:w="0" w:type="dxa"/>
            </w:tcMar>
            <w:vAlign w:val="center"/>
          </w:tcPr>
          <w:p w14:paraId="0F3C0CA9">
            <w:pPr>
              <w:adjustRightInd w:val="0"/>
              <w:spacing w:line="400" w:lineRule="exact"/>
              <w:jc w:val="center"/>
              <w:rPr>
                <w:rFonts w:ascii="仿宋_GB2312" w:hAnsi="宋体" w:eastAsia="仿宋_GB2312" w:cs="宋体"/>
                <w:sz w:val="28"/>
                <w:szCs w:val="28"/>
              </w:rPr>
            </w:pPr>
            <w:r>
              <w:rPr>
                <w:rFonts w:hint="eastAsia" w:ascii="仿宋_GB2312" w:eastAsia="仿宋_GB2312"/>
                <w:sz w:val="28"/>
                <w:szCs w:val="28"/>
              </w:rPr>
              <w:t>年龄</w:t>
            </w:r>
          </w:p>
        </w:tc>
        <w:tc>
          <w:tcPr>
            <w:tcW w:w="1610" w:type="dxa"/>
            <w:tcBorders>
              <w:top w:val="single" w:color="auto" w:sz="4" w:space="0"/>
              <w:left w:val="nil"/>
              <w:bottom w:val="single" w:color="auto" w:sz="4" w:space="0"/>
              <w:right w:val="single" w:color="auto" w:sz="4" w:space="0"/>
            </w:tcBorders>
            <w:noWrap/>
            <w:tcMar>
              <w:top w:w="0" w:type="dxa"/>
              <w:left w:w="0" w:type="dxa"/>
              <w:bottom w:w="0" w:type="dxa"/>
              <w:right w:w="0" w:type="dxa"/>
            </w:tcMar>
            <w:vAlign w:val="center"/>
          </w:tcPr>
          <w:p w14:paraId="3883F0C7">
            <w:pPr>
              <w:adjustRightInd w:val="0"/>
              <w:spacing w:line="400" w:lineRule="exact"/>
              <w:rPr>
                <w:rFonts w:ascii="仿宋_GB2312" w:hAnsi="宋体" w:eastAsia="仿宋_GB2312" w:cs="宋体"/>
                <w:sz w:val="28"/>
                <w:szCs w:val="28"/>
              </w:rPr>
            </w:pPr>
            <w:r>
              <w:rPr>
                <w:rFonts w:hint="eastAsia" w:ascii="仿宋_GB2312" w:eastAsia="仿宋_GB2312"/>
                <w:sz w:val="28"/>
                <w:szCs w:val="28"/>
              </w:rPr>
              <w:t>　</w:t>
            </w:r>
          </w:p>
        </w:tc>
      </w:tr>
      <w:tr w14:paraId="3917DAC3">
        <w:tblPrEx>
          <w:tblCellMar>
            <w:top w:w="0" w:type="dxa"/>
            <w:left w:w="0" w:type="dxa"/>
            <w:bottom w:w="0" w:type="dxa"/>
            <w:right w:w="0" w:type="dxa"/>
          </w:tblCellMar>
        </w:tblPrEx>
        <w:trPr>
          <w:trHeight w:val="567" w:hRule="atLeast"/>
          <w:jc w:val="center"/>
        </w:trPr>
        <w:tc>
          <w:tcPr>
            <w:tcW w:w="1483" w:type="dxa"/>
            <w:tcBorders>
              <w:top w:val="nil"/>
              <w:left w:val="single" w:color="auto" w:sz="4" w:space="0"/>
              <w:bottom w:val="single" w:color="auto" w:sz="4" w:space="0"/>
              <w:right w:val="single" w:color="auto" w:sz="4" w:space="0"/>
            </w:tcBorders>
            <w:noWrap/>
            <w:tcMar>
              <w:top w:w="0" w:type="dxa"/>
              <w:left w:w="0" w:type="dxa"/>
              <w:bottom w:w="0" w:type="dxa"/>
              <w:right w:w="0" w:type="dxa"/>
            </w:tcMar>
            <w:vAlign w:val="center"/>
          </w:tcPr>
          <w:p w14:paraId="0E8DEDA2">
            <w:pPr>
              <w:adjustRightInd w:val="0"/>
              <w:spacing w:line="400" w:lineRule="exact"/>
              <w:jc w:val="center"/>
              <w:rPr>
                <w:rFonts w:ascii="仿宋_GB2312" w:hAnsi="宋体" w:eastAsia="仿宋_GB2312" w:cs="宋体"/>
                <w:sz w:val="28"/>
                <w:szCs w:val="28"/>
              </w:rPr>
            </w:pPr>
            <w:r>
              <w:rPr>
                <w:rFonts w:hint="eastAsia" w:ascii="仿宋_GB2312" w:eastAsia="仿宋_GB2312"/>
                <w:sz w:val="28"/>
                <w:szCs w:val="28"/>
              </w:rPr>
              <w:t>工作单位</w:t>
            </w:r>
          </w:p>
        </w:tc>
        <w:tc>
          <w:tcPr>
            <w:tcW w:w="4227" w:type="dxa"/>
            <w:gridSpan w:val="3"/>
            <w:tcBorders>
              <w:top w:val="single" w:color="auto" w:sz="4" w:space="0"/>
              <w:left w:val="nil"/>
              <w:bottom w:val="single" w:color="auto" w:sz="4" w:space="0"/>
              <w:right w:val="single" w:color="000000" w:sz="4" w:space="0"/>
            </w:tcBorders>
            <w:noWrap/>
            <w:tcMar>
              <w:top w:w="0" w:type="dxa"/>
              <w:left w:w="0" w:type="dxa"/>
              <w:bottom w:w="0" w:type="dxa"/>
              <w:right w:w="0" w:type="dxa"/>
            </w:tcMar>
            <w:vAlign w:val="center"/>
          </w:tcPr>
          <w:p w14:paraId="10AF7B6F">
            <w:pPr>
              <w:adjustRightInd w:val="0"/>
              <w:spacing w:line="400" w:lineRule="exact"/>
              <w:jc w:val="center"/>
              <w:rPr>
                <w:rFonts w:ascii="仿宋_GB2312" w:hAnsi="宋体" w:eastAsia="仿宋_GB2312" w:cs="宋体"/>
                <w:sz w:val="28"/>
                <w:szCs w:val="28"/>
              </w:rPr>
            </w:pPr>
            <w:r>
              <w:rPr>
                <w:rFonts w:hint="eastAsia" w:ascii="仿宋_GB2312" w:eastAsia="仿宋_GB2312"/>
                <w:sz w:val="28"/>
                <w:szCs w:val="28"/>
              </w:rPr>
              <w:t>　</w:t>
            </w:r>
          </w:p>
        </w:tc>
        <w:tc>
          <w:tcPr>
            <w:tcW w:w="1417" w:type="dxa"/>
            <w:tcBorders>
              <w:top w:val="nil"/>
              <w:left w:val="nil"/>
              <w:bottom w:val="single" w:color="auto" w:sz="4" w:space="0"/>
              <w:right w:val="single" w:color="auto" w:sz="4" w:space="0"/>
            </w:tcBorders>
            <w:noWrap/>
            <w:tcMar>
              <w:top w:w="0" w:type="dxa"/>
              <w:left w:w="0" w:type="dxa"/>
              <w:bottom w:w="0" w:type="dxa"/>
              <w:right w:w="0" w:type="dxa"/>
            </w:tcMar>
            <w:vAlign w:val="center"/>
          </w:tcPr>
          <w:p w14:paraId="245D9323">
            <w:pPr>
              <w:adjustRightInd w:val="0"/>
              <w:spacing w:line="400" w:lineRule="exact"/>
              <w:jc w:val="center"/>
              <w:rPr>
                <w:rFonts w:ascii="仿宋_GB2312" w:hAnsi="宋体" w:eastAsia="仿宋_GB2312" w:cs="宋体"/>
                <w:sz w:val="28"/>
                <w:szCs w:val="28"/>
              </w:rPr>
            </w:pPr>
            <w:r>
              <w:rPr>
                <w:rFonts w:hint="eastAsia" w:ascii="仿宋_GB2312" w:eastAsia="仿宋_GB2312"/>
                <w:sz w:val="28"/>
                <w:szCs w:val="28"/>
              </w:rPr>
              <w:t>联系电话</w:t>
            </w:r>
          </w:p>
        </w:tc>
        <w:tc>
          <w:tcPr>
            <w:tcW w:w="1610" w:type="dxa"/>
            <w:tcBorders>
              <w:top w:val="nil"/>
              <w:left w:val="nil"/>
              <w:bottom w:val="single" w:color="auto" w:sz="4" w:space="0"/>
              <w:right w:val="single" w:color="auto" w:sz="4" w:space="0"/>
            </w:tcBorders>
            <w:noWrap/>
            <w:tcMar>
              <w:top w:w="0" w:type="dxa"/>
              <w:left w:w="0" w:type="dxa"/>
              <w:bottom w:w="0" w:type="dxa"/>
              <w:right w:w="0" w:type="dxa"/>
            </w:tcMar>
            <w:vAlign w:val="center"/>
          </w:tcPr>
          <w:p w14:paraId="05EB1F31">
            <w:pPr>
              <w:adjustRightInd w:val="0"/>
              <w:spacing w:line="400" w:lineRule="exact"/>
              <w:rPr>
                <w:rFonts w:ascii="仿宋_GB2312" w:hAnsi="宋体" w:eastAsia="仿宋_GB2312" w:cs="宋体"/>
                <w:sz w:val="28"/>
                <w:szCs w:val="28"/>
              </w:rPr>
            </w:pPr>
            <w:r>
              <w:rPr>
                <w:rFonts w:hint="eastAsia" w:ascii="仿宋_GB2312" w:eastAsia="仿宋_GB2312"/>
                <w:sz w:val="28"/>
                <w:szCs w:val="28"/>
              </w:rPr>
              <w:t>　</w:t>
            </w:r>
          </w:p>
        </w:tc>
      </w:tr>
      <w:tr w14:paraId="6C2D4ED7">
        <w:tblPrEx>
          <w:tblCellMar>
            <w:top w:w="0" w:type="dxa"/>
            <w:left w:w="0" w:type="dxa"/>
            <w:bottom w:w="0" w:type="dxa"/>
            <w:right w:w="0" w:type="dxa"/>
          </w:tblCellMar>
        </w:tblPrEx>
        <w:trPr>
          <w:trHeight w:val="567" w:hRule="atLeast"/>
          <w:jc w:val="center"/>
        </w:trPr>
        <w:tc>
          <w:tcPr>
            <w:tcW w:w="1483" w:type="dxa"/>
            <w:tcBorders>
              <w:top w:val="nil"/>
              <w:left w:val="single" w:color="auto" w:sz="4" w:space="0"/>
              <w:bottom w:val="single" w:color="auto" w:sz="4" w:space="0"/>
              <w:right w:val="single" w:color="auto" w:sz="4" w:space="0"/>
            </w:tcBorders>
            <w:noWrap/>
            <w:tcMar>
              <w:top w:w="0" w:type="dxa"/>
              <w:left w:w="0" w:type="dxa"/>
              <w:bottom w:w="0" w:type="dxa"/>
              <w:right w:w="0" w:type="dxa"/>
            </w:tcMar>
            <w:vAlign w:val="center"/>
          </w:tcPr>
          <w:p w14:paraId="3A37FB30">
            <w:pPr>
              <w:adjustRightInd w:val="0"/>
              <w:spacing w:line="400" w:lineRule="exact"/>
              <w:jc w:val="center"/>
              <w:rPr>
                <w:rFonts w:ascii="仿宋_GB2312" w:hAnsi="宋体" w:eastAsia="仿宋_GB2312" w:cs="宋体"/>
                <w:sz w:val="28"/>
                <w:szCs w:val="28"/>
              </w:rPr>
            </w:pPr>
            <w:r>
              <w:rPr>
                <w:rFonts w:hint="eastAsia" w:ascii="仿宋_GB2312" w:eastAsia="仿宋_GB2312"/>
                <w:sz w:val="28"/>
                <w:szCs w:val="28"/>
              </w:rPr>
              <w:t>身份证号</w:t>
            </w:r>
          </w:p>
        </w:tc>
        <w:tc>
          <w:tcPr>
            <w:tcW w:w="4227" w:type="dxa"/>
            <w:gridSpan w:val="3"/>
            <w:tcBorders>
              <w:top w:val="single" w:color="auto" w:sz="4" w:space="0"/>
              <w:left w:val="nil"/>
              <w:bottom w:val="single" w:color="auto" w:sz="4" w:space="0"/>
              <w:right w:val="single" w:color="000000" w:sz="4" w:space="0"/>
            </w:tcBorders>
            <w:noWrap/>
            <w:tcMar>
              <w:top w:w="0" w:type="dxa"/>
              <w:left w:w="0" w:type="dxa"/>
              <w:bottom w:w="0" w:type="dxa"/>
              <w:right w:w="0" w:type="dxa"/>
            </w:tcMar>
            <w:vAlign w:val="center"/>
          </w:tcPr>
          <w:p w14:paraId="6B9813B8">
            <w:pPr>
              <w:adjustRightInd w:val="0"/>
              <w:spacing w:line="400" w:lineRule="exact"/>
              <w:jc w:val="center"/>
              <w:rPr>
                <w:rFonts w:ascii="仿宋_GB2312" w:hAnsi="宋体" w:eastAsia="仿宋_GB2312" w:cs="宋体"/>
                <w:sz w:val="28"/>
                <w:szCs w:val="28"/>
              </w:rPr>
            </w:pPr>
            <w:r>
              <w:rPr>
                <w:rFonts w:hint="eastAsia" w:ascii="仿宋_GB2312" w:eastAsia="仿宋_GB2312"/>
                <w:sz w:val="28"/>
                <w:szCs w:val="28"/>
              </w:rPr>
              <w:t>　</w:t>
            </w:r>
          </w:p>
        </w:tc>
        <w:tc>
          <w:tcPr>
            <w:tcW w:w="1417" w:type="dxa"/>
            <w:tcBorders>
              <w:top w:val="nil"/>
              <w:left w:val="nil"/>
              <w:bottom w:val="single" w:color="auto" w:sz="4" w:space="0"/>
              <w:right w:val="single" w:color="auto" w:sz="4" w:space="0"/>
            </w:tcBorders>
            <w:noWrap/>
            <w:tcMar>
              <w:top w:w="0" w:type="dxa"/>
              <w:left w:w="0" w:type="dxa"/>
              <w:bottom w:w="0" w:type="dxa"/>
              <w:right w:w="0" w:type="dxa"/>
            </w:tcMar>
            <w:vAlign w:val="center"/>
          </w:tcPr>
          <w:p w14:paraId="1E1518B5">
            <w:pPr>
              <w:adjustRightInd w:val="0"/>
              <w:spacing w:line="400" w:lineRule="exact"/>
              <w:jc w:val="center"/>
              <w:rPr>
                <w:rFonts w:ascii="仿宋_GB2312" w:hAnsi="宋体" w:eastAsia="仿宋_GB2312" w:cs="宋体"/>
                <w:sz w:val="28"/>
                <w:szCs w:val="28"/>
              </w:rPr>
            </w:pPr>
            <w:r>
              <w:rPr>
                <w:rFonts w:hint="eastAsia" w:ascii="仿宋_GB2312" w:eastAsia="仿宋_GB2312"/>
                <w:sz w:val="28"/>
                <w:szCs w:val="28"/>
              </w:rPr>
              <w:t>社保卡号</w:t>
            </w:r>
          </w:p>
        </w:tc>
        <w:tc>
          <w:tcPr>
            <w:tcW w:w="1610" w:type="dxa"/>
            <w:tcBorders>
              <w:top w:val="nil"/>
              <w:left w:val="nil"/>
              <w:bottom w:val="single" w:color="auto" w:sz="4" w:space="0"/>
              <w:right w:val="single" w:color="auto" w:sz="4" w:space="0"/>
            </w:tcBorders>
            <w:noWrap/>
            <w:tcMar>
              <w:top w:w="0" w:type="dxa"/>
              <w:left w:w="0" w:type="dxa"/>
              <w:bottom w:w="0" w:type="dxa"/>
              <w:right w:w="0" w:type="dxa"/>
            </w:tcMar>
            <w:vAlign w:val="center"/>
          </w:tcPr>
          <w:p w14:paraId="71EB706F">
            <w:pPr>
              <w:adjustRightInd w:val="0"/>
              <w:spacing w:line="400" w:lineRule="exact"/>
              <w:rPr>
                <w:rFonts w:ascii="仿宋_GB2312" w:hAnsi="宋体" w:eastAsia="仿宋_GB2312" w:cs="宋体"/>
                <w:sz w:val="28"/>
                <w:szCs w:val="28"/>
              </w:rPr>
            </w:pPr>
            <w:r>
              <w:rPr>
                <w:rFonts w:hint="eastAsia" w:ascii="仿宋_GB2312" w:eastAsia="仿宋_GB2312"/>
                <w:sz w:val="28"/>
                <w:szCs w:val="28"/>
              </w:rPr>
              <w:t>　</w:t>
            </w:r>
          </w:p>
        </w:tc>
      </w:tr>
      <w:tr w14:paraId="5C90C0B3">
        <w:tblPrEx>
          <w:tblCellMar>
            <w:top w:w="0" w:type="dxa"/>
            <w:left w:w="0" w:type="dxa"/>
            <w:bottom w:w="0" w:type="dxa"/>
            <w:right w:w="0" w:type="dxa"/>
          </w:tblCellMar>
        </w:tblPrEx>
        <w:trPr>
          <w:trHeight w:val="567" w:hRule="atLeast"/>
          <w:jc w:val="center"/>
        </w:trPr>
        <w:tc>
          <w:tcPr>
            <w:tcW w:w="1483" w:type="dxa"/>
            <w:tcBorders>
              <w:top w:val="nil"/>
              <w:left w:val="single" w:color="auto" w:sz="4" w:space="0"/>
              <w:bottom w:val="single" w:color="auto" w:sz="4" w:space="0"/>
              <w:right w:val="single" w:color="auto" w:sz="4" w:space="0"/>
            </w:tcBorders>
            <w:noWrap/>
            <w:tcMar>
              <w:top w:w="0" w:type="dxa"/>
              <w:left w:w="0" w:type="dxa"/>
              <w:bottom w:w="0" w:type="dxa"/>
              <w:right w:w="0" w:type="dxa"/>
            </w:tcMar>
            <w:vAlign w:val="center"/>
          </w:tcPr>
          <w:p w14:paraId="5DA62BCD">
            <w:pPr>
              <w:adjustRightInd w:val="0"/>
              <w:spacing w:line="400" w:lineRule="exact"/>
              <w:jc w:val="center"/>
              <w:rPr>
                <w:rFonts w:ascii="仿宋_GB2312" w:hAnsi="宋体" w:eastAsia="仿宋_GB2312" w:cs="宋体"/>
                <w:sz w:val="28"/>
                <w:szCs w:val="28"/>
              </w:rPr>
            </w:pPr>
            <w:r>
              <w:rPr>
                <w:rFonts w:hint="eastAsia" w:ascii="仿宋_GB2312" w:eastAsia="仿宋_GB2312"/>
                <w:sz w:val="28"/>
                <w:szCs w:val="28"/>
              </w:rPr>
              <w:t>申报病种1</w:t>
            </w:r>
          </w:p>
        </w:tc>
        <w:tc>
          <w:tcPr>
            <w:tcW w:w="2667" w:type="dxa"/>
            <w:gridSpan w:val="2"/>
            <w:tcBorders>
              <w:top w:val="single" w:color="auto" w:sz="4" w:space="0"/>
              <w:left w:val="nil"/>
              <w:bottom w:val="single" w:color="auto" w:sz="4" w:space="0"/>
              <w:right w:val="single" w:color="000000" w:sz="4" w:space="0"/>
            </w:tcBorders>
            <w:noWrap/>
            <w:tcMar>
              <w:top w:w="0" w:type="dxa"/>
              <w:left w:w="0" w:type="dxa"/>
              <w:bottom w:w="0" w:type="dxa"/>
              <w:right w:w="0" w:type="dxa"/>
            </w:tcMar>
            <w:vAlign w:val="center"/>
          </w:tcPr>
          <w:p w14:paraId="48FEA5DD">
            <w:pPr>
              <w:adjustRightInd w:val="0"/>
              <w:spacing w:line="400" w:lineRule="exact"/>
              <w:jc w:val="center"/>
              <w:rPr>
                <w:rFonts w:ascii="仿宋_GB2312" w:hAnsi="宋体" w:eastAsia="仿宋_GB2312" w:cs="宋体"/>
                <w:sz w:val="28"/>
                <w:szCs w:val="28"/>
              </w:rPr>
            </w:pPr>
            <w:r>
              <w:rPr>
                <w:rFonts w:hint="eastAsia" w:ascii="仿宋_GB2312" w:eastAsia="仿宋_GB2312"/>
                <w:sz w:val="28"/>
                <w:szCs w:val="28"/>
              </w:rPr>
              <w:t>　</w:t>
            </w:r>
          </w:p>
        </w:tc>
        <w:tc>
          <w:tcPr>
            <w:tcW w:w="1560" w:type="dxa"/>
            <w:tcBorders>
              <w:top w:val="nil"/>
              <w:left w:val="nil"/>
              <w:bottom w:val="single" w:color="auto" w:sz="4" w:space="0"/>
              <w:right w:val="single" w:color="auto" w:sz="4" w:space="0"/>
            </w:tcBorders>
            <w:noWrap/>
            <w:tcMar>
              <w:top w:w="0" w:type="dxa"/>
              <w:left w:w="0" w:type="dxa"/>
              <w:bottom w:w="0" w:type="dxa"/>
              <w:right w:w="0" w:type="dxa"/>
            </w:tcMar>
            <w:vAlign w:val="center"/>
          </w:tcPr>
          <w:p w14:paraId="3ECE1982">
            <w:pPr>
              <w:adjustRightInd w:val="0"/>
              <w:spacing w:line="400" w:lineRule="exact"/>
              <w:rPr>
                <w:rFonts w:ascii="仿宋_GB2312" w:hAnsi="宋体" w:eastAsia="仿宋_GB2312" w:cs="宋体"/>
                <w:sz w:val="28"/>
                <w:szCs w:val="28"/>
              </w:rPr>
            </w:pPr>
            <w:r>
              <w:rPr>
                <w:rFonts w:hint="eastAsia" w:ascii="仿宋_GB2312" w:eastAsia="仿宋_GB2312"/>
                <w:sz w:val="28"/>
                <w:szCs w:val="28"/>
              </w:rPr>
              <w:t>申报病种2</w:t>
            </w:r>
          </w:p>
        </w:tc>
        <w:tc>
          <w:tcPr>
            <w:tcW w:w="3027" w:type="dxa"/>
            <w:gridSpan w:val="2"/>
            <w:tcBorders>
              <w:top w:val="single" w:color="auto" w:sz="4" w:space="0"/>
              <w:left w:val="nil"/>
              <w:bottom w:val="single" w:color="auto" w:sz="4" w:space="0"/>
              <w:right w:val="single" w:color="000000" w:sz="4" w:space="0"/>
            </w:tcBorders>
            <w:noWrap/>
            <w:tcMar>
              <w:top w:w="0" w:type="dxa"/>
              <w:left w:w="0" w:type="dxa"/>
              <w:bottom w:w="0" w:type="dxa"/>
              <w:right w:w="0" w:type="dxa"/>
            </w:tcMar>
            <w:vAlign w:val="center"/>
          </w:tcPr>
          <w:p w14:paraId="50EA5B49">
            <w:pPr>
              <w:adjustRightInd w:val="0"/>
              <w:spacing w:line="400" w:lineRule="exact"/>
              <w:jc w:val="center"/>
              <w:rPr>
                <w:rFonts w:ascii="仿宋_GB2312" w:hAnsi="宋体" w:eastAsia="仿宋_GB2312" w:cs="宋体"/>
                <w:sz w:val="28"/>
                <w:szCs w:val="28"/>
              </w:rPr>
            </w:pPr>
            <w:r>
              <w:rPr>
                <w:rFonts w:hint="eastAsia" w:ascii="仿宋_GB2312" w:eastAsia="仿宋_GB2312"/>
                <w:sz w:val="28"/>
                <w:szCs w:val="28"/>
              </w:rPr>
              <w:t>　</w:t>
            </w:r>
          </w:p>
        </w:tc>
      </w:tr>
      <w:tr w14:paraId="4C50512C">
        <w:tblPrEx>
          <w:tblCellMar>
            <w:top w:w="0" w:type="dxa"/>
            <w:left w:w="0" w:type="dxa"/>
            <w:bottom w:w="0" w:type="dxa"/>
            <w:right w:w="0" w:type="dxa"/>
          </w:tblCellMar>
        </w:tblPrEx>
        <w:trPr>
          <w:trHeight w:val="2178" w:hRule="atLeast"/>
          <w:jc w:val="center"/>
        </w:trPr>
        <w:tc>
          <w:tcPr>
            <w:tcW w:w="1483" w:type="dxa"/>
            <w:tcBorders>
              <w:top w:val="nil"/>
              <w:left w:val="single" w:color="auto" w:sz="4" w:space="0"/>
              <w:bottom w:val="single" w:color="auto" w:sz="4" w:space="0"/>
              <w:right w:val="single" w:color="auto" w:sz="4" w:space="0"/>
            </w:tcBorders>
            <w:tcMar>
              <w:top w:w="0" w:type="dxa"/>
              <w:left w:w="0" w:type="dxa"/>
              <w:bottom w:w="0" w:type="dxa"/>
              <w:right w:w="0" w:type="dxa"/>
            </w:tcMar>
            <w:vAlign w:val="center"/>
          </w:tcPr>
          <w:p w14:paraId="4CDC57AF">
            <w:pPr>
              <w:adjustRightInd w:val="0"/>
              <w:spacing w:line="400" w:lineRule="exact"/>
              <w:jc w:val="center"/>
              <w:rPr>
                <w:rFonts w:ascii="仿宋_GB2312" w:eastAsia="仿宋_GB2312"/>
                <w:sz w:val="28"/>
                <w:szCs w:val="28"/>
              </w:rPr>
            </w:pPr>
            <w:r>
              <w:rPr>
                <w:rFonts w:hint="eastAsia" w:ascii="仿宋_GB2312" w:eastAsia="仿宋_GB2312"/>
                <w:sz w:val="28"/>
                <w:szCs w:val="28"/>
              </w:rPr>
              <w:t>病历摘要</w:t>
            </w:r>
          </w:p>
          <w:p w14:paraId="31DA36B3">
            <w:pPr>
              <w:adjustRightInd w:val="0"/>
              <w:spacing w:line="400" w:lineRule="exact"/>
              <w:jc w:val="center"/>
              <w:rPr>
                <w:rFonts w:ascii="仿宋_GB2312" w:hAnsi="宋体" w:eastAsia="仿宋_GB2312" w:cs="宋体"/>
                <w:sz w:val="28"/>
                <w:szCs w:val="28"/>
              </w:rPr>
            </w:pPr>
            <w:r>
              <w:rPr>
                <w:rFonts w:hint="eastAsia" w:ascii="仿宋_GB2312" w:eastAsia="仿宋_GB2312"/>
                <w:sz w:val="28"/>
                <w:szCs w:val="28"/>
              </w:rPr>
              <w:t>及临床指征</w:t>
            </w:r>
          </w:p>
        </w:tc>
        <w:tc>
          <w:tcPr>
            <w:tcW w:w="7254" w:type="dxa"/>
            <w:gridSpan w:val="5"/>
            <w:tcBorders>
              <w:top w:val="single" w:color="auto" w:sz="4" w:space="0"/>
              <w:left w:val="nil"/>
              <w:bottom w:val="single" w:color="auto" w:sz="4" w:space="0"/>
              <w:right w:val="single" w:color="000000" w:sz="4" w:space="0"/>
            </w:tcBorders>
            <w:tcMar>
              <w:top w:w="0" w:type="dxa"/>
              <w:left w:w="0" w:type="dxa"/>
              <w:bottom w:w="0" w:type="dxa"/>
              <w:right w:w="0" w:type="dxa"/>
            </w:tcMar>
            <w:vAlign w:val="center"/>
          </w:tcPr>
          <w:p w14:paraId="38E488DB">
            <w:pPr>
              <w:adjustRightInd w:val="0"/>
              <w:spacing w:line="400" w:lineRule="exact"/>
              <w:rPr>
                <w:rFonts w:ascii="仿宋_GB2312" w:eastAsia="仿宋_GB2312"/>
                <w:sz w:val="28"/>
                <w:szCs w:val="28"/>
              </w:rPr>
            </w:pPr>
            <w:r>
              <w:rPr>
                <w:rFonts w:hint="eastAsia" w:ascii="仿宋_GB2312" w:eastAsia="仿宋_GB2312"/>
                <w:sz w:val="28"/>
                <w:szCs w:val="28"/>
              </w:rPr>
              <w:br w:type="textWrapping"/>
            </w:r>
            <w:r>
              <w:rPr>
                <w:rFonts w:hint="eastAsia" w:ascii="仿宋_GB2312" w:eastAsia="仿宋_GB2312"/>
                <w:sz w:val="28"/>
                <w:szCs w:val="28"/>
              </w:rPr>
              <w:br w:type="textWrapping"/>
            </w:r>
            <w:r>
              <w:rPr>
                <w:rFonts w:hint="eastAsia" w:ascii="仿宋_GB2312" w:eastAsia="仿宋_GB2312"/>
                <w:sz w:val="28"/>
                <w:szCs w:val="28"/>
              </w:rPr>
              <w:br w:type="textWrapping"/>
            </w:r>
            <w:r>
              <w:rPr>
                <w:rFonts w:hint="eastAsia" w:ascii="仿宋_GB2312" w:eastAsia="仿宋_GB2312"/>
                <w:sz w:val="28"/>
                <w:szCs w:val="28"/>
              </w:rPr>
              <w:t xml:space="preserve">                           主管医师签字：</w:t>
            </w:r>
          </w:p>
          <w:p w14:paraId="41ABCE13">
            <w:pPr>
              <w:adjustRightInd w:val="0"/>
              <w:spacing w:line="400" w:lineRule="exact"/>
              <w:ind w:left="3640" w:hanging="3640" w:hangingChars="1300"/>
              <w:rPr>
                <w:rFonts w:ascii="仿宋_GB2312" w:hAnsi="宋体" w:eastAsia="仿宋_GB2312" w:cs="宋体"/>
                <w:sz w:val="28"/>
                <w:szCs w:val="28"/>
              </w:rPr>
            </w:pPr>
            <w:r>
              <w:rPr>
                <w:rFonts w:hint="eastAsia" w:ascii="仿宋_GB2312" w:eastAsia="仿宋_GB2312"/>
                <w:sz w:val="28"/>
                <w:szCs w:val="28"/>
              </w:rPr>
              <w:t xml:space="preserve">                                     年  月  日</w:t>
            </w:r>
          </w:p>
        </w:tc>
      </w:tr>
      <w:tr w14:paraId="4675B1B8">
        <w:tblPrEx>
          <w:tblCellMar>
            <w:top w:w="0" w:type="dxa"/>
            <w:left w:w="0" w:type="dxa"/>
            <w:bottom w:w="0" w:type="dxa"/>
            <w:right w:w="0" w:type="dxa"/>
          </w:tblCellMar>
        </w:tblPrEx>
        <w:trPr>
          <w:trHeight w:val="567" w:hRule="atLeast"/>
          <w:jc w:val="center"/>
        </w:trPr>
        <w:tc>
          <w:tcPr>
            <w:tcW w:w="1483" w:type="dxa"/>
            <w:tcBorders>
              <w:top w:val="nil"/>
              <w:left w:val="single" w:color="auto" w:sz="4" w:space="0"/>
              <w:bottom w:val="single" w:color="auto" w:sz="4" w:space="0"/>
              <w:right w:val="single" w:color="auto" w:sz="4" w:space="0"/>
            </w:tcBorders>
            <w:tcMar>
              <w:top w:w="0" w:type="dxa"/>
              <w:left w:w="0" w:type="dxa"/>
              <w:bottom w:w="0" w:type="dxa"/>
              <w:right w:w="0" w:type="dxa"/>
            </w:tcMar>
            <w:vAlign w:val="center"/>
          </w:tcPr>
          <w:p w14:paraId="72865810">
            <w:pPr>
              <w:adjustRightInd w:val="0"/>
              <w:spacing w:line="400" w:lineRule="exact"/>
              <w:jc w:val="center"/>
              <w:rPr>
                <w:rFonts w:ascii="仿宋_GB2312" w:eastAsia="仿宋_GB2312"/>
                <w:sz w:val="28"/>
                <w:szCs w:val="28"/>
              </w:rPr>
            </w:pPr>
            <w:r>
              <w:rPr>
                <w:rFonts w:hint="eastAsia" w:ascii="仿宋_GB2312" w:eastAsia="仿宋_GB2312"/>
                <w:sz w:val="28"/>
                <w:szCs w:val="28"/>
              </w:rPr>
              <w:t>专家审核</w:t>
            </w:r>
          </w:p>
          <w:p w14:paraId="5E6F97C8">
            <w:pPr>
              <w:adjustRightInd w:val="0"/>
              <w:spacing w:line="400" w:lineRule="exact"/>
              <w:jc w:val="center"/>
              <w:rPr>
                <w:rFonts w:ascii="仿宋_GB2312" w:hAnsi="宋体" w:eastAsia="仿宋_GB2312" w:cs="宋体"/>
                <w:sz w:val="28"/>
                <w:szCs w:val="28"/>
              </w:rPr>
            </w:pPr>
            <w:r>
              <w:rPr>
                <w:rFonts w:hint="eastAsia" w:ascii="仿宋_GB2312" w:eastAsia="仿宋_GB2312"/>
                <w:sz w:val="28"/>
                <w:szCs w:val="28"/>
              </w:rPr>
              <w:t>意见</w:t>
            </w:r>
          </w:p>
        </w:tc>
        <w:tc>
          <w:tcPr>
            <w:tcW w:w="7254" w:type="dxa"/>
            <w:gridSpan w:val="5"/>
            <w:tcBorders>
              <w:top w:val="single" w:color="auto" w:sz="4" w:space="0"/>
              <w:left w:val="nil"/>
              <w:bottom w:val="single" w:color="auto" w:sz="4" w:space="0"/>
              <w:right w:val="single" w:color="000000" w:sz="4" w:space="0"/>
            </w:tcBorders>
            <w:tcMar>
              <w:top w:w="0" w:type="dxa"/>
              <w:left w:w="0" w:type="dxa"/>
              <w:bottom w:w="0" w:type="dxa"/>
              <w:right w:w="0" w:type="dxa"/>
            </w:tcMar>
            <w:vAlign w:val="center"/>
          </w:tcPr>
          <w:p w14:paraId="08281759">
            <w:pPr>
              <w:adjustRightInd w:val="0"/>
              <w:spacing w:line="400" w:lineRule="exact"/>
              <w:rPr>
                <w:rFonts w:ascii="仿宋_GB2312" w:eastAsia="仿宋_GB2312"/>
                <w:sz w:val="28"/>
                <w:szCs w:val="28"/>
              </w:rPr>
            </w:pPr>
            <w:r>
              <w:rPr>
                <w:rFonts w:hint="eastAsia" w:ascii="仿宋_GB2312" w:eastAsia="仿宋_GB2312"/>
                <w:sz w:val="28"/>
                <w:szCs w:val="28"/>
              </w:rPr>
              <w:br w:type="textWrapping"/>
            </w:r>
            <w:r>
              <w:rPr>
                <w:rFonts w:hint="eastAsia" w:ascii="仿宋_GB2312" w:eastAsia="仿宋_GB2312"/>
                <w:sz w:val="28"/>
                <w:szCs w:val="28"/>
              </w:rPr>
              <w:br w:type="textWrapping"/>
            </w:r>
            <w:r>
              <w:rPr>
                <w:rFonts w:hint="eastAsia" w:ascii="仿宋_GB2312" w:eastAsia="仿宋_GB2312"/>
                <w:sz w:val="28"/>
                <w:szCs w:val="28"/>
              </w:rPr>
              <w:t xml:space="preserve">                                          </w:t>
            </w:r>
            <w:r>
              <w:rPr>
                <w:rFonts w:hint="eastAsia" w:ascii="仿宋_GB2312" w:eastAsia="仿宋_GB2312"/>
                <w:sz w:val="28"/>
                <w:szCs w:val="28"/>
              </w:rPr>
              <w:br w:type="textWrapping"/>
            </w:r>
            <w:r>
              <w:rPr>
                <w:rFonts w:hint="eastAsia" w:ascii="仿宋_GB2312" w:eastAsia="仿宋_GB2312"/>
                <w:sz w:val="28"/>
                <w:szCs w:val="28"/>
              </w:rPr>
              <w:br w:type="textWrapping"/>
            </w:r>
            <w:r>
              <w:rPr>
                <w:rFonts w:hint="eastAsia" w:ascii="仿宋_GB2312" w:eastAsia="仿宋_GB2312"/>
                <w:sz w:val="28"/>
                <w:szCs w:val="28"/>
              </w:rPr>
              <w:t xml:space="preserve">                           专家签字：</w:t>
            </w:r>
          </w:p>
          <w:p w14:paraId="2A506118">
            <w:pPr>
              <w:adjustRightInd w:val="0"/>
              <w:spacing w:line="400" w:lineRule="exact"/>
              <w:rPr>
                <w:rFonts w:ascii="仿宋_GB2312" w:hAnsi="宋体" w:eastAsia="仿宋_GB2312" w:cs="宋体"/>
                <w:sz w:val="28"/>
                <w:szCs w:val="28"/>
              </w:rPr>
            </w:pPr>
            <w:r>
              <w:rPr>
                <w:rFonts w:hint="eastAsia" w:ascii="仿宋_GB2312" w:eastAsia="仿宋_GB2312"/>
                <w:sz w:val="28"/>
                <w:szCs w:val="28"/>
              </w:rPr>
              <w:t xml:space="preserve">                                     年  月  日</w:t>
            </w:r>
          </w:p>
        </w:tc>
      </w:tr>
      <w:tr w14:paraId="76B4E130">
        <w:tblPrEx>
          <w:tblCellMar>
            <w:top w:w="0" w:type="dxa"/>
            <w:left w:w="0" w:type="dxa"/>
            <w:bottom w:w="0" w:type="dxa"/>
            <w:right w:w="0" w:type="dxa"/>
          </w:tblCellMar>
        </w:tblPrEx>
        <w:trPr>
          <w:trHeight w:val="567" w:hRule="atLeast"/>
          <w:jc w:val="center"/>
        </w:trPr>
        <w:tc>
          <w:tcPr>
            <w:tcW w:w="1483" w:type="dxa"/>
            <w:tcBorders>
              <w:top w:val="nil"/>
              <w:left w:val="single" w:color="auto" w:sz="4" w:space="0"/>
              <w:bottom w:val="single" w:color="auto" w:sz="4" w:space="0"/>
              <w:right w:val="single" w:color="auto" w:sz="4" w:space="0"/>
            </w:tcBorders>
            <w:tcMar>
              <w:top w:w="0" w:type="dxa"/>
              <w:left w:w="0" w:type="dxa"/>
              <w:bottom w:w="0" w:type="dxa"/>
              <w:right w:w="0" w:type="dxa"/>
            </w:tcMar>
            <w:vAlign w:val="center"/>
          </w:tcPr>
          <w:p w14:paraId="5F55212B">
            <w:pPr>
              <w:adjustRightInd w:val="0"/>
              <w:spacing w:line="400" w:lineRule="exact"/>
              <w:jc w:val="center"/>
              <w:rPr>
                <w:rFonts w:ascii="仿宋_GB2312" w:eastAsia="仿宋_GB2312"/>
                <w:sz w:val="28"/>
                <w:szCs w:val="28"/>
              </w:rPr>
            </w:pPr>
            <w:r>
              <w:rPr>
                <w:rFonts w:hint="eastAsia" w:ascii="仿宋_GB2312" w:eastAsia="仿宋_GB2312"/>
                <w:sz w:val="28"/>
                <w:szCs w:val="28"/>
              </w:rPr>
              <w:t xml:space="preserve">专家组组长 </w:t>
            </w:r>
          </w:p>
          <w:p w14:paraId="77837A99">
            <w:pPr>
              <w:adjustRightInd w:val="0"/>
              <w:spacing w:line="400" w:lineRule="exact"/>
              <w:jc w:val="center"/>
              <w:rPr>
                <w:rFonts w:ascii="仿宋_GB2312" w:hAnsi="宋体" w:eastAsia="仿宋_GB2312" w:cs="宋体"/>
                <w:sz w:val="28"/>
                <w:szCs w:val="28"/>
              </w:rPr>
            </w:pPr>
            <w:r>
              <w:rPr>
                <w:rFonts w:hint="eastAsia" w:ascii="仿宋_GB2312" w:eastAsia="仿宋_GB2312"/>
                <w:sz w:val="28"/>
                <w:szCs w:val="28"/>
              </w:rPr>
              <w:t>复审意见</w:t>
            </w:r>
          </w:p>
        </w:tc>
        <w:tc>
          <w:tcPr>
            <w:tcW w:w="7254" w:type="dxa"/>
            <w:gridSpan w:val="5"/>
            <w:tcBorders>
              <w:top w:val="single" w:color="auto" w:sz="4" w:space="0"/>
              <w:left w:val="nil"/>
              <w:bottom w:val="single" w:color="auto" w:sz="4" w:space="0"/>
              <w:right w:val="single" w:color="000000" w:sz="4" w:space="0"/>
            </w:tcBorders>
            <w:tcMar>
              <w:top w:w="0" w:type="dxa"/>
              <w:left w:w="0" w:type="dxa"/>
              <w:bottom w:w="0" w:type="dxa"/>
              <w:right w:w="0" w:type="dxa"/>
            </w:tcMar>
            <w:vAlign w:val="center"/>
          </w:tcPr>
          <w:p w14:paraId="01162077">
            <w:pPr>
              <w:adjustRightInd w:val="0"/>
              <w:spacing w:line="400" w:lineRule="exact"/>
              <w:rPr>
                <w:rFonts w:ascii="仿宋_GB2312" w:eastAsia="仿宋_GB2312"/>
                <w:sz w:val="28"/>
                <w:szCs w:val="28"/>
              </w:rPr>
            </w:pPr>
            <w:r>
              <w:rPr>
                <w:rFonts w:hint="eastAsia" w:ascii="仿宋_GB2312" w:eastAsia="仿宋_GB2312"/>
                <w:sz w:val="28"/>
                <w:szCs w:val="28"/>
              </w:rPr>
              <w:br w:type="textWrapping"/>
            </w:r>
            <w:r>
              <w:rPr>
                <w:rFonts w:hint="eastAsia" w:ascii="仿宋_GB2312" w:eastAsia="仿宋_GB2312"/>
                <w:sz w:val="28"/>
                <w:szCs w:val="28"/>
              </w:rPr>
              <w:br w:type="textWrapping"/>
            </w:r>
            <w:r>
              <w:rPr>
                <w:rFonts w:hint="eastAsia" w:ascii="仿宋_GB2312" w:eastAsia="仿宋_GB2312"/>
                <w:sz w:val="28"/>
                <w:szCs w:val="28"/>
              </w:rPr>
              <w:br w:type="textWrapping"/>
            </w:r>
            <w:r>
              <w:rPr>
                <w:rFonts w:hint="eastAsia" w:ascii="仿宋_GB2312" w:eastAsia="仿宋_GB2312"/>
                <w:sz w:val="28"/>
                <w:szCs w:val="28"/>
              </w:rPr>
              <w:t xml:space="preserve">                           专家签字：</w:t>
            </w:r>
          </w:p>
          <w:p w14:paraId="71E215FB">
            <w:pPr>
              <w:adjustRightInd w:val="0"/>
              <w:spacing w:line="400" w:lineRule="exact"/>
              <w:rPr>
                <w:rFonts w:ascii="仿宋_GB2312" w:hAnsi="宋体" w:eastAsia="仿宋_GB2312" w:cs="宋体"/>
                <w:sz w:val="28"/>
                <w:szCs w:val="28"/>
              </w:rPr>
            </w:pPr>
            <w:r>
              <w:rPr>
                <w:rFonts w:hint="eastAsia" w:ascii="仿宋_GB2312" w:eastAsia="仿宋_GB2312"/>
                <w:sz w:val="28"/>
                <w:szCs w:val="28"/>
              </w:rPr>
              <w:t xml:space="preserve">                                     年  月  日</w:t>
            </w:r>
          </w:p>
        </w:tc>
      </w:tr>
      <w:tr w14:paraId="4DCBD50F">
        <w:tblPrEx>
          <w:tblCellMar>
            <w:top w:w="0" w:type="dxa"/>
            <w:left w:w="0" w:type="dxa"/>
            <w:bottom w:w="0" w:type="dxa"/>
            <w:right w:w="0" w:type="dxa"/>
          </w:tblCellMar>
        </w:tblPrEx>
        <w:trPr>
          <w:trHeight w:val="2373" w:hRule="atLeast"/>
          <w:jc w:val="center"/>
        </w:trPr>
        <w:tc>
          <w:tcPr>
            <w:tcW w:w="1483" w:type="dxa"/>
            <w:tcBorders>
              <w:top w:val="nil"/>
              <w:left w:val="single" w:color="auto" w:sz="4" w:space="0"/>
              <w:bottom w:val="single" w:color="auto" w:sz="4" w:space="0"/>
              <w:right w:val="single" w:color="auto" w:sz="4" w:space="0"/>
            </w:tcBorders>
            <w:tcMar>
              <w:top w:w="0" w:type="dxa"/>
              <w:left w:w="0" w:type="dxa"/>
              <w:bottom w:w="0" w:type="dxa"/>
              <w:right w:w="0" w:type="dxa"/>
            </w:tcMar>
            <w:vAlign w:val="center"/>
          </w:tcPr>
          <w:p w14:paraId="79B616EA">
            <w:pPr>
              <w:adjustRightInd w:val="0"/>
              <w:spacing w:line="400" w:lineRule="exact"/>
              <w:jc w:val="center"/>
              <w:rPr>
                <w:rFonts w:ascii="仿宋_GB2312" w:eastAsia="仿宋_GB2312"/>
                <w:sz w:val="28"/>
                <w:szCs w:val="28"/>
              </w:rPr>
            </w:pPr>
            <w:r>
              <w:rPr>
                <w:rFonts w:hint="eastAsia" w:ascii="仿宋_GB2312" w:eastAsia="仿宋_GB2312"/>
                <w:sz w:val="28"/>
                <w:szCs w:val="28"/>
              </w:rPr>
              <w:t>审核认定</w:t>
            </w:r>
          </w:p>
          <w:p w14:paraId="41040A5F">
            <w:pPr>
              <w:adjustRightInd w:val="0"/>
              <w:spacing w:line="400" w:lineRule="exact"/>
              <w:jc w:val="center"/>
              <w:rPr>
                <w:rFonts w:ascii="仿宋_GB2312" w:hAnsi="宋体" w:eastAsia="仿宋_GB2312" w:cs="宋体"/>
                <w:sz w:val="28"/>
                <w:szCs w:val="28"/>
              </w:rPr>
            </w:pPr>
            <w:r>
              <w:rPr>
                <w:rFonts w:hint="eastAsia" w:ascii="仿宋_GB2312" w:eastAsia="仿宋_GB2312"/>
                <w:sz w:val="28"/>
                <w:szCs w:val="28"/>
              </w:rPr>
              <w:t>结果</w:t>
            </w:r>
          </w:p>
        </w:tc>
        <w:tc>
          <w:tcPr>
            <w:tcW w:w="7254" w:type="dxa"/>
            <w:gridSpan w:val="5"/>
            <w:tcBorders>
              <w:top w:val="single" w:color="auto" w:sz="4" w:space="0"/>
              <w:left w:val="nil"/>
              <w:bottom w:val="single" w:color="auto" w:sz="4" w:space="0"/>
              <w:right w:val="single" w:color="000000" w:sz="4" w:space="0"/>
            </w:tcBorders>
            <w:tcMar>
              <w:top w:w="0" w:type="dxa"/>
              <w:left w:w="0" w:type="dxa"/>
              <w:bottom w:w="0" w:type="dxa"/>
              <w:right w:w="0" w:type="dxa"/>
            </w:tcMar>
            <w:vAlign w:val="center"/>
          </w:tcPr>
          <w:p w14:paraId="6D02D307">
            <w:pPr>
              <w:adjustRightInd w:val="0"/>
              <w:spacing w:line="400" w:lineRule="exact"/>
              <w:rPr>
                <w:rFonts w:ascii="仿宋_GB2312" w:hAnsi="宋体" w:eastAsia="仿宋_GB2312" w:cs="宋体"/>
                <w:sz w:val="28"/>
                <w:szCs w:val="28"/>
              </w:rPr>
            </w:pPr>
            <w:r>
              <w:rPr>
                <w:rFonts w:hint="eastAsia" w:ascii="仿宋_GB2312" w:eastAsia="仿宋_GB2312"/>
                <w:sz w:val="28"/>
                <w:szCs w:val="28"/>
              </w:rPr>
              <w:br w:type="textWrapping"/>
            </w:r>
            <w:r>
              <w:rPr>
                <w:rFonts w:hint="eastAsia" w:ascii="仿宋_GB2312" w:eastAsia="仿宋_GB2312"/>
                <w:sz w:val="28"/>
                <w:szCs w:val="28"/>
              </w:rPr>
              <w:br w:type="textWrapping"/>
            </w:r>
            <w:r>
              <w:rPr>
                <w:rFonts w:hint="eastAsia" w:ascii="仿宋_GB2312" w:eastAsia="仿宋_GB2312"/>
                <w:sz w:val="28"/>
                <w:szCs w:val="28"/>
              </w:rPr>
              <w:br w:type="textWrapping"/>
            </w:r>
            <w:r>
              <w:rPr>
                <w:rFonts w:hint="eastAsia" w:ascii="仿宋_GB2312" w:eastAsia="仿宋_GB2312"/>
                <w:sz w:val="28"/>
                <w:szCs w:val="28"/>
              </w:rPr>
              <w:t xml:space="preserve">               审核认定医院医保办盖章</w:t>
            </w:r>
            <w:r>
              <w:rPr>
                <w:rFonts w:hint="eastAsia" w:ascii="仿宋_GB2312" w:eastAsia="仿宋_GB2312"/>
                <w:sz w:val="28"/>
                <w:szCs w:val="28"/>
              </w:rPr>
              <w:br w:type="textWrapping"/>
            </w:r>
            <w:r>
              <w:rPr>
                <w:rFonts w:hint="eastAsia" w:ascii="仿宋_GB2312" w:eastAsia="仿宋_GB2312"/>
                <w:sz w:val="28"/>
                <w:szCs w:val="28"/>
              </w:rPr>
              <w:t xml:space="preserve">                                     年  月  日</w:t>
            </w:r>
          </w:p>
        </w:tc>
      </w:tr>
    </w:tbl>
    <w:p w14:paraId="504563E1">
      <w:pPr>
        <w:pStyle w:val="3"/>
        <w:rPr>
          <w:rFonts w:ascii="黑体" w:hAnsi="黑体" w:eastAsia="黑体" w:cs="仿宋_GB2312"/>
          <w:sz w:val="32"/>
          <w:szCs w:val="32"/>
        </w:rPr>
      </w:pPr>
    </w:p>
    <w:p w14:paraId="05912773">
      <w:pPr>
        <w:pStyle w:val="3"/>
        <w:rPr>
          <w:rFonts w:ascii="黑体" w:hAnsi="黑体" w:eastAsia="黑体" w:cs="仿宋_GB2312"/>
          <w:sz w:val="32"/>
          <w:szCs w:val="32"/>
        </w:rPr>
      </w:pPr>
    </w:p>
    <w:p w14:paraId="1FECC024">
      <w:pPr>
        <w:overflowPunct w:val="0"/>
        <w:autoSpaceDE w:val="0"/>
        <w:autoSpaceDN w:val="0"/>
        <w:adjustRightInd w:val="0"/>
        <w:snapToGrid w:val="0"/>
        <w:spacing w:line="400" w:lineRule="exact"/>
        <w:rPr>
          <w:rFonts w:ascii="黑体" w:hAnsi="黑体" w:eastAsia="黑体" w:cs="仿宋_GB2312"/>
          <w:sz w:val="32"/>
          <w:szCs w:val="32"/>
        </w:rPr>
      </w:pPr>
      <w:r>
        <w:rPr>
          <w:rFonts w:hint="eastAsia" w:ascii="黑体" w:hAnsi="黑体" w:eastAsia="黑体" w:cs="仿宋_GB2312"/>
          <w:sz w:val="32"/>
          <w:szCs w:val="32"/>
        </w:rPr>
        <w:t>附件4</w:t>
      </w:r>
    </w:p>
    <w:p w14:paraId="685C2038">
      <w:pPr>
        <w:pStyle w:val="2"/>
        <w:spacing w:before="161" w:beforeLines="50" w:line="500" w:lineRule="exact"/>
        <w:ind w:left="0" w:leftChars="0"/>
        <w:jc w:val="center"/>
        <w:rPr>
          <w:rFonts w:ascii="方正小标宋简体" w:eastAsia="方正小标宋简体"/>
          <w:sz w:val="42"/>
          <w:szCs w:val="42"/>
        </w:rPr>
      </w:pPr>
    </w:p>
    <w:p w14:paraId="6333A60C">
      <w:pPr>
        <w:pStyle w:val="2"/>
        <w:spacing w:before="161" w:beforeLines="50" w:line="500" w:lineRule="exact"/>
        <w:ind w:left="0" w:leftChars="0"/>
        <w:jc w:val="center"/>
        <w:rPr>
          <w:rFonts w:ascii="方正小标宋简体" w:eastAsia="方正小标宋简体"/>
          <w:sz w:val="42"/>
          <w:szCs w:val="42"/>
        </w:rPr>
      </w:pPr>
      <w:r>
        <w:rPr>
          <w:rFonts w:hint="eastAsia" w:ascii="方正小标宋简体" w:eastAsia="方正小标宋简体"/>
          <w:sz w:val="42"/>
          <w:szCs w:val="42"/>
        </w:rPr>
        <w:t>甘肃省基本医疗保险门诊慢特病认定审批表</w:t>
      </w:r>
    </w:p>
    <w:tbl>
      <w:tblPr>
        <w:tblStyle w:val="13"/>
        <w:tblW w:w="8730" w:type="dxa"/>
        <w:jc w:val="center"/>
        <w:tblLayout w:type="fixed"/>
        <w:tblCellMar>
          <w:top w:w="0" w:type="dxa"/>
          <w:left w:w="30" w:type="dxa"/>
          <w:bottom w:w="0" w:type="dxa"/>
          <w:right w:w="30" w:type="dxa"/>
        </w:tblCellMar>
      </w:tblPr>
      <w:tblGrid>
        <w:gridCol w:w="2493"/>
        <w:gridCol w:w="2268"/>
        <w:gridCol w:w="1843"/>
        <w:gridCol w:w="2126"/>
      </w:tblGrid>
      <w:tr w14:paraId="7E5FB480">
        <w:tblPrEx>
          <w:tblCellMar>
            <w:top w:w="0" w:type="dxa"/>
            <w:left w:w="30" w:type="dxa"/>
            <w:bottom w:w="0" w:type="dxa"/>
            <w:right w:w="30" w:type="dxa"/>
          </w:tblCellMar>
        </w:tblPrEx>
        <w:trPr>
          <w:trHeight w:val="907" w:hRule="atLeast"/>
          <w:jc w:val="center"/>
        </w:trPr>
        <w:tc>
          <w:tcPr>
            <w:tcW w:w="2493" w:type="dxa"/>
            <w:tcBorders>
              <w:top w:val="single" w:color="auto" w:sz="6" w:space="0"/>
              <w:left w:val="single" w:color="auto" w:sz="6" w:space="0"/>
              <w:bottom w:val="single" w:color="auto" w:sz="6" w:space="0"/>
              <w:right w:val="single" w:color="auto" w:sz="6" w:space="0"/>
            </w:tcBorders>
            <w:tcMar>
              <w:top w:w="113" w:type="dxa"/>
              <w:left w:w="0" w:type="dxa"/>
              <w:bottom w:w="113" w:type="dxa"/>
              <w:right w:w="0" w:type="dxa"/>
            </w:tcMar>
            <w:vAlign w:val="center"/>
          </w:tcPr>
          <w:p w14:paraId="5B49D1B9">
            <w:pPr>
              <w:autoSpaceDE w:val="0"/>
              <w:autoSpaceDN w:val="0"/>
              <w:adjustRightInd w:val="0"/>
              <w:spacing w:line="400" w:lineRule="exact"/>
              <w:jc w:val="center"/>
              <w:rPr>
                <w:rFonts w:ascii="仿宋_GB2312" w:eastAsia="仿宋_GB2312" w:cs="仿宋_GB2312"/>
                <w:kern w:val="0"/>
                <w:sz w:val="28"/>
                <w:szCs w:val="28"/>
              </w:rPr>
            </w:pPr>
            <w:r>
              <w:rPr>
                <w:rFonts w:hint="eastAsia" w:ascii="仿宋_GB2312" w:eastAsia="仿宋_GB2312" w:cs="仿宋_GB2312"/>
                <w:kern w:val="0"/>
                <w:sz w:val="28"/>
                <w:szCs w:val="28"/>
              </w:rPr>
              <w:t>审批编号</w:t>
            </w:r>
          </w:p>
        </w:tc>
        <w:tc>
          <w:tcPr>
            <w:tcW w:w="6237" w:type="dxa"/>
            <w:gridSpan w:val="3"/>
            <w:tcBorders>
              <w:top w:val="single" w:color="auto" w:sz="6" w:space="0"/>
              <w:left w:val="single" w:color="auto" w:sz="6" w:space="0"/>
              <w:bottom w:val="single" w:color="auto" w:sz="6" w:space="0"/>
              <w:right w:val="single" w:color="auto" w:sz="6" w:space="0"/>
            </w:tcBorders>
            <w:tcMar>
              <w:top w:w="113" w:type="dxa"/>
              <w:left w:w="0" w:type="dxa"/>
              <w:bottom w:w="113" w:type="dxa"/>
              <w:right w:w="0" w:type="dxa"/>
            </w:tcMar>
            <w:vAlign w:val="center"/>
          </w:tcPr>
          <w:p w14:paraId="0FE3E1D1">
            <w:pPr>
              <w:autoSpaceDE w:val="0"/>
              <w:autoSpaceDN w:val="0"/>
              <w:adjustRightInd w:val="0"/>
              <w:spacing w:line="400" w:lineRule="exact"/>
              <w:jc w:val="center"/>
              <w:rPr>
                <w:rFonts w:ascii="仿宋_GB2312" w:eastAsia="仿宋_GB2312" w:cs="仿宋_GB2312"/>
                <w:kern w:val="0"/>
                <w:sz w:val="28"/>
                <w:szCs w:val="28"/>
              </w:rPr>
            </w:pPr>
          </w:p>
        </w:tc>
      </w:tr>
      <w:tr w14:paraId="58F448F1">
        <w:tblPrEx>
          <w:tblCellMar>
            <w:top w:w="0" w:type="dxa"/>
            <w:left w:w="30" w:type="dxa"/>
            <w:bottom w:w="0" w:type="dxa"/>
            <w:right w:w="30" w:type="dxa"/>
          </w:tblCellMar>
        </w:tblPrEx>
        <w:trPr>
          <w:trHeight w:val="907" w:hRule="atLeast"/>
          <w:jc w:val="center"/>
        </w:trPr>
        <w:tc>
          <w:tcPr>
            <w:tcW w:w="2493" w:type="dxa"/>
            <w:tcBorders>
              <w:top w:val="single" w:color="auto" w:sz="6" w:space="0"/>
              <w:left w:val="single" w:color="auto" w:sz="6" w:space="0"/>
              <w:bottom w:val="single" w:color="auto" w:sz="6" w:space="0"/>
              <w:right w:val="single" w:color="auto" w:sz="6" w:space="0"/>
            </w:tcBorders>
            <w:tcMar>
              <w:top w:w="113" w:type="dxa"/>
              <w:left w:w="0" w:type="dxa"/>
              <w:bottom w:w="113" w:type="dxa"/>
              <w:right w:w="0" w:type="dxa"/>
            </w:tcMar>
            <w:vAlign w:val="center"/>
          </w:tcPr>
          <w:p w14:paraId="25EEFB8A">
            <w:pPr>
              <w:autoSpaceDE w:val="0"/>
              <w:autoSpaceDN w:val="0"/>
              <w:adjustRightInd w:val="0"/>
              <w:spacing w:line="400" w:lineRule="exact"/>
              <w:jc w:val="center"/>
              <w:rPr>
                <w:rFonts w:ascii="仿宋_GB2312" w:eastAsia="仿宋_GB2312" w:cs="仿宋_GB2312"/>
                <w:kern w:val="0"/>
                <w:sz w:val="28"/>
                <w:szCs w:val="28"/>
              </w:rPr>
            </w:pPr>
            <w:r>
              <w:rPr>
                <w:rFonts w:hint="eastAsia" w:ascii="仿宋_GB2312" w:eastAsia="仿宋_GB2312" w:cs="仿宋_GB2312"/>
                <w:kern w:val="0"/>
                <w:sz w:val="28"/>
                <w:szCs w:val="28"/>
              </w:rPr>
              <w:t>申报人姓名</w:t>
            </w:r>
          </w:p>
        </w:tc>
        <w:tc>
          <w:tcPr>
            <w:tcW w:w="2268" w:type="dxa"/>
            <w:tcBorders>
              <w:top w:val="single" w:color="auto" w:sz="6" w:space="0"/>
              <w:left w:val="single" w:color="auto" w:sz="6" w:space="0"/>
              <w:bottom w:val="single" w:color="auto" w:sz="6" w:space="0"/>
              <w:right w:val="single" w:color="auto" w:sz="6" w:space="0"/>
            </w:tcBorders>
            <w:tcMar>
              <w:top w:w="113" w:type="dxa"/>
              <w:left w:w="0" w:type="dxa"/>
              <w:bottom w:w="113" w:type="dxa"/>
              <w:right w:w="0" w:type="dxa"/>
            </w:tcMar>
            <w:vAlign w:val="center"/>
          </w:tcPr>
          <w:p w14:paraId="383996D0">
            <w:pPr>
              <w:autoSpaceDE w:val="0"/>
              <w:autoSpaceDN w:val="0"/>
              <w:adjustRightInd w:val="0"/>
              <w:spacing w:line="400" w:lineRule="exact"/>
              <w:jc w:val="center"/>
              <w:rPr>
                <w:rFonts w:ascii="仿宋_GB2312" w:eastAsia="仿宋_GB2312" w:cs="仿宋_GB2312"/>
                <w:kern w:val="0"/>
                <w:sz w:val="28"/>
                <w:szCs w:val="28"/>
              </w:rPr>
            </w:pPr>
          </w:p>
        </w:tc>
        <w:tc>
          <w:tcPr>
            <w:tcW w:w="1843" w:type="dxa"/>
            <w:tcBorders>
              <w:top w:val="single" w:color="auto" w:sz="6" w:space="0"/>
              <w:left w:val="single" w:color="auto" w:sz="6" w:space="0"/>
              <w:bottom w:val="single" w:color="auto" w:sz="6" w:space="0"/>
              <w:right w:val="single" w:color="auto" w:sz="6" w:space="0"/>
            </w:tcBorders>
            <w:tcMar>
              <w:top w:w="113" w:type="dxa"/>
              <w:left w:w="0" w:type="dxa"/>
              <w:bottom w:w="113" w:type="dxa"/>
              <w:right w:w="0" w:type="dxa"/>
            </w:tcMar>
            <w:vAlign w:val="center"/>
          </w:tcPr>
          <w:p w14:paraId="079E59EB">
            <w:pPr>
              <w:autoSpaceDE w:val="0"/>
              <w:autoSpaceDN w:val="0"/>
              <w:adjustRightInd w:val="0"/>
              <w:spacing w:line="400" w:lineRule="exact"/>
              <w:jc w:val="center"/>
              <w:rPr>
                <w:rFonts w:ascii="仿宋_GB2312" w:eastAsia="仿宋_GB2312" w:cs="仿宋_GB2312"/>
                <w:kern w:val="0"/>
                <w:sz w:val="28"/>
                <w:szCs w:val="28"/>
              </w:rPr>
            </w:pPr>
            <w:r>
              <w:rPr>
                <w:rFonts w:hint="eastAsia" w:ascii="仿宋_GB2312" w:eastAsia="仿宋_GB2312" w:cs="仿宋_GB2312"/>
                <w:kern w:val="0"/>
                <w:sz w:val="28"/>
                <w:szCs w:val="28"/>
              </w:rPr>
              <w:t>个人编号</w:t>
            </w:r>
          </w:p>
        </w:tc>
        <w:tc>
          <w:tcPr>
            <w:tcW w:w="2126" w:type="dxa"/>
            <w:tcBorders>
              <w:top w:val="single" w:color="auto" w:sz="6" w:space="0"/>
              <w:left w:val="single" w:color="auto" w:sz="6" w:space="0"/>
              <w:bottom w:val="single" w:color="auto" w:sz="6" w:space="0"/>
              <w:right w:val="single" w:color="auto" w:sz="6" w:space="0"/>
            </w:tcBorders>
            <w:tcMar>
              <w:top w:w="113" w:type="dxa"/>
              <w:left w:w="0" w:type="dxa"/>
              <w:bottom w:w="113" w:type="dxa"/>
              <w:right w:w="0" w:type="dxa"/>
            </w:tcMar>
            <w:vAlign w:val="center"/>
          </w:tcPr>
          <w:p w14:paraId="543ED946">
            <w:pPr>
              <w:autoSpaceDE w:val="0"/>
              <w:autoSpaceDN w:val="0"/>
              <w:adjustRightInd w:val="0"/>
              <w:spacing w:line="400" w:lineRule="exact"/>
              <w:jc w:val="center"/>
              <w:rPr>
                <w:rFonts w:ascii="仿宋_GB2312" w:eastAsia="仿宋_GB2312" w:cs="仿宋_GB2312"/>
                <w:kern w:val="0"/>
                <w:sz w:val="28"/>
                <w:szCs w:val="28"/>
              </w:rPr>
            </w:pPr>
          </w:p>
        </w:tc>
      </w:tr>
      <w:tr w14:paraId="58676888">
        <w:tblPrEx>
          <w:tblCellMar>
            <w:top w:w="0" w:type="dxa"/>
            <w:left w:w="30" w:type="dxa"/>
            <w:bottom w:w="0" w:type="dxa"/>
            <w:right w:w="30" w:type="dxa"/>
          </w:tblCellMar>
        </w:tblPrEx>
        <w:trPr>
          <w:trHeight w:val="907" w:hRule="atLeast"/>
          <w:jc w:val="center"/>
        </w:trPr>
        <w:tc>
          <w:tcPr>
            <w:tcW w:w="2493" w:type="dxa"/>
            <w:tcBorders>
              <w:top w:val="single" w:color="auto" w:sz="6" w:space="0"/>
              <w:left w:val="single" w:color="auto" w:sz="6" w:space="0"/>
              <w:bottom w:val="single" w:color="auto" w:sz="6" w:space="0"/>
              <w:right w:val="single" w:color="auto" w:sz="6" w:space="0"/>
            </w:tcBorders>
            <w:tcMar>
              <w:top w:w="113" w:type="dxa"/>
              <w:left w:w="0" w:type="dxa"/>
              <w:bottom w:w="113" w:type="dxa"/>
              <w:right w:w="0" w:type="dxa"/>
            </w:tcMar>
            <w:vAlign w:val="center"/>
          </w:tcPr>
          <w:p w14:paraId="4E787F8F">
            <w:pPr>
              <w:autoSpaceDE w:val="0"/>
              <w:autoSpaceDN w:val="0"/>
              <w:adjustRightInd w:val="0"/>
              <w:spacing w:line="400" w:lineRule="exact"/>
              <w:jc w:val="center"/>
              <w:rPr>
                <w:rFonts w:ascii="仿宋_GB2312" w:eastAsia="仿宋_GB2312" w:cs="仿宋_GB2312"/>
                <w:kern w:val="0"/>
                <w:sz w:val="28"/>
                <w:szCs w:val="28"/>
              </w:rPr>
            </w:pPr>
            <w:r>
              <w:rPr>
                <w:rFonts w:hint="eastAsia" w:ascii="仿宋_GB2312" w:eastAsia="仿宋_GB2312" w:cs="仿宋_GB2312"/>
                <w:kern w:val="0"/>
                <w:sz w:val="28"/>
                <w:szCs w:val="28"/>
              </w:rPr>
              <w:t>参保险种</w:t>
            </w:r>
          </w:p>
        </w:tc>
        <w:tc>
          <w:tcPr>
            <w:tcW w:w="2268" w:type="dxa"/>
            <w:tcBorders>
              <w:top w:val="single" w:color="auto" w:sz="6" w:space="0"/>
              <w:left w:val="single" w:color="auto" w:sz="6" w:space="0"/>
              <w:bottom w:val="single" w:color="auto" w:sz="6" w:space="0"/>
              <w:right w:val="single" w:color="auto" w:sz="6" w:space="0"/>
            </w:tcBorders>
            <w:tcMar>
              <w:top w:w="113" w:type="dxa"/>
              <w:left w:w="0" w:type="dxa"/>
              <w:bottom w:w="113" w:type="dxa"/>
              <w:right w:w="0" w:type="dxa"/>
            </w:tcMar>
            <w:vAlign w:val="center"/>
          </w:tcPr>
          <w:p w14:paraId="3C346AA2">
            <w:pPr>
              <w:autoSpaceDE w:val="0"/>
              <w:autoSpaceDN w:val="0"/>
              <w:adjustRightInd w:val="0"/>
              <w:spacing w:line="400" w:lineRule="exact"/>
              <w:jc w:val="center"/>
              <w:rPr>
                <w:rFonts w:ascii="仿宋_GB2312" w:eastAsia="仿宋_GB2312" w:cs="仿宋_GB2312"/>
                <w:kern w:val="0"/>
                <w:sz w:val="28"/>
                <w:szCs w:val="28"/>
              </w:rPr>
            </w:pPr>
          </w:p>
        </w:tc>
        <w:tc>
          <w:tcPr>
            <w:tcW w:w="1843" w:type="dxa"/>
            <w:tcBorders>
              <w:top w:val="single" w:color="auto" w:sz="6" w:space="0"/>
              <w:left w:val="single" w:color="auto" w:sz="6" w:space="0"/>
              <w:bottom w:val="single" w:color="auto" w:sz="6" w:space="0"/>
              <w:right w:val="single" w:color="auto" w:sz="6" w:space="0"/>
            </w:tcBorders>
            <w:tcMar>
              <w:top w:w="113" w:type="dxa"/>
              <w:left w:w="0" w:type="dxa"/>
              <w:bottom w:w="113" w:type="dxa"/>
              <w:right w:w="0" w:type="dxa"/>
            </w:tcMar>
            <w:vAlign w:val="center"/>
          </w:tcPr>
          <w:p w14:paraId="30A937B7">
            <w:pPr>
              <w:autoSpaceDE w:val="0"/>
              <w:autoSpaceDN w:val="0"/>
              <w:adjustRightInd w:val="0"/>
              <w:spacing w:line="400" w:lineRule="exact"/>
              <w:jc w:val="center"/>
              <w:rPr>
                <w:rFonts w:ascii="仿宋_GB2312" w:eastAsia="仿宋_GB2312" w:cs="仿宋_GB2312"/>
                <w:kern w:val="0"/>
                <w:sz w:val="28"/>
                <w:szCs w:val="28"/>
              </w:rPr>
            </w:pPr>
            <w:r>
              <w:rPr>
                <w:rFonts w:hint="eastAsia" w:ascii="仿宋_GB2312" w:eastAsia="仿宋_GB2312" w:cs="仿宋_GB2312"/>
                <w:kern w:val="0"/>
                <w:sz w:val="28"/>
                <w:szCs w:val="28"/>
              </w:rPr>
              <w:t>统筹基金年度支付限额</w:t>
            </w:r>
          </w:p>
        </w:tc>
        <w:tc>
          <w:tcPr>
            <w:tcW w:w="2126" w:type="dxa"/>
            <w:tcBorders>
              <w:top w:val="single" w:color="auto" w:sz="6" w:space="0"/>
              <w:left w:val="single" w:color="auto" w:sz="6" w:space="0"/>
              <w:bottom w:val="single" w:color="auto" w:sz="6" w:space="0"/>
              <w:right w:val="single" w:color="auto" w:sz="6" w:space="0"/>
            </w:tcBorders>
            <w:tcMar>
              <w:top w:w="113" w:type="dxa"/>
              <w:left w:w="0" w:type="dxa"/>
              <w:bottom w:w="113" w:type="dxa"/>
              <w:right w:w="0" w:type="dxa"/>
            </w:tcMar>
            <w:vAlign w:val="center"/>
          </w:tcPr>
          <w:p w14:paraId="20C31204">
            <w:pPr>
              <w:autoSpaceDE w:val="0"/>
              <w:autoSpaceDN w:val="0"/>
              <w:adjustRightInd w:val="0"/>
              <w:spacing w:line="400" w:lineRule="exact"/>
              <w:jc w:val="center"/>
              <w:rPr>
                <w:rFonts w:ascii="仿宋_GB2312" w:eastAsia="仿宋_GB2312" w:cs="仿宋_GB2312"/>
                <w:kern w:val="0"/>
                <w:sz w:val="28"/>
                <w:szCs w:val="28"/>
              </w:rPr>
            </w:pPr>
          </w:p>
        </w:tc>
      </w:tr>
      <w:tr w14:paraId="1745363A">
        <w:tblPrEx>
          <w:tblCellMar>
            <w:top w:w="0" w:type="dxa"/>
            <w:left w:w="30" w:type="dxa"/>
            <w:bottom w:w="0" w:type="dxa"/>
            <w:right w:w="30" w:type="dxa"/>
          </w:tblCellMar>
        </w:tblPrEx>
        <w:trPr>
          <w:trHeight w:val="907" w:hRule="atLeast"/>
          <w:jc w:val="center"/>
        </w:trPr>
        <w:tc>
          <w:tcPr>
            <w:tcW w:w="2493" w:type="dxa"/>
            <w:tcBorders>
              <w:top w:val="single" w:color="auto" w:sz="6" w:space="0"/>
              <w:left w:val="single" w:color="auto" w:sz="6" w:space="0"/>
              <w:bottom w:val="single" w:color="auto" w:sz="6" w:space="0"/>
              <w:right w:val="single" w:color="auto" w:sz="6" w:space="0"/>
            </w:tcBorders>
            <w:tcMar>
              <w:top w:w="113" w:type="dxa"/>
              <w:left w:w="0" w:type="dxa"/>
              <w:bottom w:w="113" w:type="dxa"/>
              <w:right w:w="0" w:type="dxa"/>
            </w:tcMar>
            <w:vAlign w:val="center"/>
          </w:tcPr>
          <w:p w14:paraId="641A5B08">
            <w:pPr>
              <w:autoSpaceDE w:val="0"/>
              <w:autoSpaceDN w:val="0"/>
              <w:adjustRightInd w:val="0"/>
              <w:spacing w:line="400" w:lineRule="exact"/>
              <w:jc w:val="center"/>
              <w:rPr>
                <w:rFonts w:ascii="仿宋_GB2312" w:eastAsia="仿宋_GB2312" w:cs="仿宋_GB2312"/>
                <w:kern w:val="0"/>
                <w:sz w:val="28"/>
                <w:szCs w:val="28"/>
              </w:rPr>
            </w:pPr>
            <w:r>
              <w:rPr>
                <w:rFonts w:hint="eastAsia" w:ascii="仿宋_GB2312" w:eastAsia="仿宋_GB2312" w:cs="仿宋_GB2312"/>
                <w:kern w:val="0"/>
                <w:sz w:val="28"/>
                <w:szCs w:val="28"/>
              </w:rPr>
              <w:t>病种名称</w:t>
            </w:r>
          </w:p>
        </w:tc>
        <w:tc>
          <w:tcPr>
            <w:tcW w:w="6237" w:type="dxa"/>
            <w:gridSpan w:val="3"/>
            <w:tcBorders>
              <w:top w:val="single" w:color="auto" w:sz="6" w:space="0"/>
              <w:left w:val="single" w:color="auto" w:sz="6" w:space="0"/>
              <w:bottom w:val="single" w:color="auto" w:sz="6" w:space="0"/>
              <w:right w:val="single" w:color="auto" w:sz="6" w:space="0"/>
            </w:tcBorders>
            <w:tcMar>
              <w:top w:w="113" w:type="dxa"/>
              <w:left w:w="0" w:type="dxa"/>
              <w:bottom w:w="113" w:type="dxa"/>
              <w:right w:w="0" w:type="dxa"/>
            </w:tcMar>
            <w:vAlign w:val="center"/>
          </w:tcPr>
          <w:p w14:paraId="60777A2C">
            <w:pPr>
              <w:autoSpaceDE w:val="0"/>
              <w:autoSpaceDN w:val="0"/>
              <w:adjustRightInd w:val="0"/>
              <w:spacing w:line="400" w:lineRule="exact"/>
              <w:jc w:val="center"/>
              <w:rPr>
                <w:rFonts w:ascii="仿宋_GB2312" w:eastAsia="仿宋_GB2312" w:cs="仿宋_GB2312"/>
                <w:kern w:val="0"/>
                <w:sz w:val="28"/>
                <w:szCs w:val="28"/>
              </w:rPr>
            </w:pPr>
          </w:p>
        </w:tc>
      </w:tr>
      <w:tr w14:paraId="026C7A19">
        <w:tblPrEx>
          <w:tblCellMar>
            <w:top w:w="0" w:type="dxa"/>
            <w:left w:w="30" w:type="dxa"/>
            <w:bottom w:w="0" w:type="dxa"/>
            <w:right w:w="30" w:type="dxa"/>
          </w:tblCellMar>
        </w:tblPrEx>
        <w:trPr>
          <w:trHeight w:val="907" w:hRule="atLeast"/>
          <w:jc w:val="center"/>
        </w:trPr>
        <w:tc>
          <w:tcPr>
            <w:tcW w:w="2493" w:type="dxa"/>
            <w:tcBorders>
              <w:top w:val="single" w:color="auto" w:sz="6" w:space="0"/>
              <w:left w:val="single" w:color="auto" w:sz="6" w:space="0"/>
              <w:bottom w:val="single" w:color="auto" w:sz="6" w:space="0"/>
              <w:right w:val="single" w:color="auto" w:sz="6" w:space="0"/>
            </w:tcBorders>
            <w:tcMar>
              <w:top w:w="113" w:type="dxa"/>
              <w:left w:w="0" w:type="dxa"/>
              <w:bottom w:w="113" w:type="dxa"/>
              <w:right w:w="0" w:type="dxa"/>
            </w:tcMar>
            <w:vAlign w:val="center"/>
          </w:tcPr>
          <w:p w14:paraId="70D14F02">
            <w:pPr>
              <w:autoSpaceDE w:val="0"/>
              <w:autoSpaceDN w:val="0"/>
              <w:adjustRightInd w:val="0"/>
              <w:spacing w:line="400" w:lineRule="exact"/>
              <w:jc w:val="center"/>
              <w:rPr>
                <w:rFonts w:ascii="仿宋_GB2312" w:eastAsia="仿宋_GB2312" w:cs="仿宋_GB2312"/>
                <w:kern w:val="0"/>
                <w:sz w:val="28"/>
                <w:szCs w:val="28"/>
              </w:rPr>
            </w:pPr>
            <w:r>
              <w:rPr>
                <w:rFonts w:hint="eastAsia" w:ascii="仿宋_GB2312" w:eastAsia="仿宋_GB2312" w:cs="仿宋_GB2312"/>
                <w:kern w:val="0"/>
                <w:sz w:val="28"/>
                <w:szCs w:val="28"/>
              </w:rPr>
              <w:t>病种编码</w:t>
            </w:r>
          </w:p>
        </w:tc>
        <w:tc>
          <w:tcPr>
            <w:tcW w:w="6237" w:type="dxa"/>
            <w:gridSpan w:val="3"/>
            <w:tcBorders>
              <w:top w:val="single" w:color="auto" w:sz="6" w:space="0"/>
              <w:left w:val="single" w:color="auto" w:sz="6" w:space="0"/>
              <w:bottom w:val="single" w:color="auto" w:sz="6" w:space="0"/>
              <w:right w:val="single" w:color="auto" w:sz="6" w:space="0"/>
            </w:tcBorders>
            <w:tcMar>
              <w:top w:w="113" w:type="dxa"/>
              <w:left w:w="0" w:type="dxa"/>
              <w:bottom w:w="113" w:type="dxa"/>
              <w:right w:w="0" w:type="dxa"/>
            </w:tcMar>
            <w:vAlign w:val="center"/>
          </w:tcPr>
          <w:p w14:paraId="03B72AB6">
            <w:pPr>
              <w:autoSpaceDE w:val="0"/>
              <w:autoSpaceDN w:val="0"/>
              <w:adjustRightInd w:val="0"/>
              <w:spacing w:line="400" w:lineRule="exact"/>
              <w:jc w:val="center"/>
              <w:rPr>
                <w:rFonts w:ascii="仿宋_GB2312" w:eastAsia="仿宋_GB2312" w:cs="仿宋_GB2312"/>
                <w:kern w:val="0"/>
                <w:sz w:val="28"/>
                <w:szCs w:val="28"/>
              </w:rPr>
            </w:pPr>
          </w:p>
        </w:tc>
      </w:tr>
      <w:tr w14:paraId="042EAD04">
        <w:tblPrEx>
          <w:tblCellMar>
            <w:top w:w="0" w:type="dxa"/>
            <w:left w:w="30" w:type="dxa"/>
            <w:bottom w:w="0" w:type="dxa"/>
            <w:right w:w="30" w:type="dxa"/>
          </w:tblCellMar>
        </w:tblPrEx>
        <w:trPr>
          <w:trHeight w:val="907" w:hRule="atLeast"/>
          <w:jc w:val="center"/>
        </w:trPr>
        <w:tc>
          <w:tcPr>
            <w:tcW w:w="2493" w:type="dxa"/>
            <w:tcBorders>
              <w:top w:val="single" w:color="auto" w:sz="6" w:space="0"/>
              <w:left w:val="single" w:color="auto" w:sz="6" w:space="0"/>
              <w:bottom w:val="single" w:color="auto" w:sz="6" w:space="0"/>
              <w:right w:val="single" w:color="auto" w:sz="6" w:space="0"/>
            </w:tcBorders>
            <w:tcMar>
              <w:top w:w="113" w:type="dxa"/>
              <w:left w:w="0" w:type="dxa"/>
              <w:bottom w:w="113" w:type="dxa"/>
              <w:right w:w="0" w:type="dxa"/>
            </w:tcMar>
            <w:vAlign w:val="center"/>
          </w:tcPr>
          <w:p w14:paraId="4D20C99D">
            <w:pPr>
              <w:autoSpaceDE w:val="0"/>
              <w:autoSpaceDN w:val="0"/>
              <w:adjustRightInd w:val="0"/>
              <w:spacing w:line="400" w:lineRule="exact"/>
              <w:jc w:val="center"/>
              <w:rPr>
                <w:rFonts w:ascii="仿宋_GB2312" w:eastAsia="仿宋_GB2312" w:cs="仿宋_GB2312"/>
                <w:kern w:val="0"/>
                <w:sz w:val="28"/>
                <w:szCs w:val="28"/>
              </w:rPr>
            </w:pPr>
            <w:r>
              <w:rPr>
                <w:rFonts w:hint="eastAsia" w:ascii="仿宋_GB2312" w:eastAsia="仿宋_GB2312" w:cs="仿宋_GB2312"/>
                <w:kern w:val="0"/>
                <w:sz w:val="28"/>
                <w:szCs w:val="28"/>
              </w:rPr>
              <w:t>有效期限</w:t>
            </w:r>
          </w:p>
        </w:tc>
        <w:tc>
          <w:tcPr>
            <w:tcW w:w="6237" w:type="dxa"/>
            <w:gridSpan w:val="3"/>
            <w:tcBorders>
              <w:top w:val="single" w:color="auto" w:sz="6" w:space="0"/>
              <w:left w:val="single" w:color="auto" w:sz="6" w:space="0"/>
              <w:bottom w:val="single" w:color="auto" w:sz="6" w:space="0"/>
              <w:right w:val="single" w:color="auto" w:sz="6" w:space="0"/>
            </w:tcBorders>
            <w:tcMar>
              <w:top w:w="113" w:type="dxa"/>
              <w:left w:w="0" w:type="dxa"/>
              <w:bottom w:w="113" w:type="dxa"/>
              <w:right w:w="0" w:type="dxa"/>
            </w:tcMar>
            <w:vAlign w:val="center"/>
          </w:tcPr>
          <w:p w14:paraId="567DF660">
            <w:pPr>
              <w:autoSpaceDE w:val="0"/>
              <w:autoSpaceDN w:val="0"/>
              <w:adjustRightInd w:val="0"/>
              <w:spacing w:line="400" w:lineRule="exact"/>
              <w:jc w:val="center"/>
              <w:rPr>
                <w:rFonts w:ascii="仿宋_GB2312" w:eastAsia="仿宋_GB2312" w:cs="仿宋_GB2312"/>
                <w:kern w:val="0"/>
                <w:sz w:val="28"/>
                <w:szCs w:val="28"/>
              </w:rPr>
            </w:pPr>
          </w:p>
        </w:tc>
      </w:tr>
      <w:tr w14:paraId="0AF1B97B">
        <w:tblPrEx>
          <w:tblCellMar>
            <w:top w:w="0" w:type="dxa"/>
            <w:left w:w="30" w:type="dxa"/>
            <w:bottom w:w="0" w:type="dxa"/>
            <w:right w:w="30" w:type="dxa"/>
          </w:tblCellMar>
        </w:tblPrEx>
        <w:trPr>
          <w:trHeight w:val="907" w:hRule="atLeast"/>
          <w:jc w:val="center"/>
        </w:trPr>
        <w:tc>
          <w:tcPr>
            <w:tcW w:w="2493" w:type="dxa"/>
            <w:tcBorders>
              <w:top w:val="single" w:color="auto" w:sz="6" w:space="0"/>
              <w:left w:val="single" w:color="auto" w:sz="6" w:space="0"/>
              <w:bottom w:val="single" w:color="auto" w:sz="6" w:space="0"/>
              <w:right w:val="single" w:color="auto" w:sz="6" w:space="0"/>
            </w:tcBorders>
            <w:tcMar>
              <w:top w:w="113" w:type="dxa"/>
              <w:left w:w="0" w:type="dxa"/>
              <w:bottom w:w="113" w:type="dxa"/>
              <w:right w:w="0" w:type="dxa"/>
            </w:tcMar>
            <w:vAlign w:val="center"/>
          </w:tcPr>
          <w:p w14:paraId="2DEA195C">
            <w:pPr>
              <w:autoSpaceDE w:val="0"/>
              <w:autoSpaceDN w:val="0"/>
              <w:adjustRightInd w:val="0"/>
              <w:spacing w:line="400" w:lineRule="exact"/>
              <w:jc w:val="center"/>
              <w:rPr>
                <w:rFonts w:ascii="仿宋_GB2312" w:eastAsia="仿宋_GB2312" w:cs="仿宋_GB2312"/>
                <w:kern w:val="0"/>
                <w:sz w:val="28"/>
                <w:szCs w:val="28"/>
              </w:rPr>
            </w:pPr>
            <w:r>
              <w:rPr>
                <w:rFonts w:hint="eastAsia" w:ascii="仿宋_GB2312" w:eastAsia="仿宋_GB2312" w:cs="仿宋_GB2312"/>
                <w:kern w:val="0"/>
                <w:sz w:val="28"/>
                <w:szCs w:val="28"/>
              </w:rPr>
              <w:t>审批认定医疗</w:t>
            </w:r>
          </w:p>
          <w:p w14:paraId="7F3BF1C9">
            <w:pPr>
              <w:autoSpaceDE w:val="0"/>
              <w:autoSpaceDN w:val="0"/>
              <w:adjustRightInd w:val="0"/>
              <w:spacing w:line="400" w:lineRule="exact"/>
              <w:jc w:val="center"/>
              <w:rPr>
                <w:rFonts w:ascii="仿宋_GB2312" w:eastAsia="仿宋_GB2312" w:cs="仿宋_GB2312"/>
                <w:kern w:val="0"/>
                <w:sz w:val="28"/>
                <w:szCs w:val="28"/>
              </w:rPr>
            </w:pPr>
            <w:r>
              <w:rPr>
                <w:rFonts w:hint="eastAsia" w:ascii="仿宋_GB2312" w:eastAsia="仿宋_GB2312" w:cs="仿宋_GB2312"/>
                <w:kern w:val="0"/>
                <w:sz w:val="28"/>
                <w:szCs w:val="28"/>
              </w:rPr>
              <w:t>机构及代码</w:t>
            </w:r>
          </w:p>
        </w:tc>
        <w:tc>
          <w:tcPr>
            <w:tcW w:w="6237" w:type="dxa"/>
            <w:gridSpan w:val="3"/>
            <w:tcBorders>
              <w:top w:val="single" w:color="auto" w:sz="6" w:space="0"/>
              <w:left w:val="single" w:color="auto" w:sz="6" w:space="0"/>
              <w:bottom w:val="single" w:color="auto" w:sz="6" w:space="0"/>
              <w:right w:val="single" w:color="auto" w:sz="6" w:space="0"/>
            </w:tcBorders>
            <w:tcMar>
              <w:top w:w="113" w:type="dxa"/>
              <w:left w:w="0" w:type="dxa"/>
              <w:bottom w:w="113" w:type="dxa"/>
              <w:right w:w="0" w:type="dxa"/>
            </w:tcMar>
            <w:vAlign w:val="center"/>
          </w:tcPr>
          <w:p w14:paraId="1E165469">
            <w:pPr>
              <w:autoSpaceDE w:val="0"/>
              <w:autoSpaceDN w:val="0"/>
              <w:adjustRightInd w:val="0"/>
              <w:spacing w:line="400" w:lineRule="exact"/>
              <w:jc w:val="center"/>
              <w:rPr>
                <w:rFonts w:ascii="仿宋_GB2312" w:eastAsia="仿宋_GB2312" w:cs="仿宋_GB2312"/>
                <w:kern w:val="0"/>
                <w:sz w:val="28"/>
                <w:szCs w:val="28"/>
              </w:rPr>
            </w:pPr>
          </w:p>
        </w:tc>
      </w:tr>
      <w:tr w14:paraId="21BF06AD">
        <w:tblPrEx>
          <w:tblCellMar>
            <w:top w:w="0" w:type="dxa"/>
            <w:left w:w="30" w:type="dxa"/>
            <w:bottom w:w="0" w:type="dxa"/>
            <w:right w:w="30" w:type="dxa"/>
          </w:tblCellMar>
        </w:tblPrEx>
        <w:trPr>
          <w:trHeight w:val="907" w:hRule="atLeast"/>
          <w:jc w:val="center"/>
        </w:trPr>
        <w:tc>
          <w:tcPr>
            <w:tcW w:w="2493" w:type="dxa"/>
            <w:tcBorders>
              <w:top w:val="single" w:color="auto" w:sz="6" w:space="0"/>
              <w:left w:val="single" w:color="auto" w:sz="6" w:space="0"/>
              <w:bottom w:val="single" w:color="auto" w:sz="6" w:space="0"/>
              <w:right w:val="single" w:color="auto" w:sz="6" w:space="0"/>
            </w:tcBorders>
            <w:tcMar>
              <w:top w:w="113" w:type="dxa"/>
              <w:left w:w="0" w:type="dxa"/>
              <w:bottom w:w="113" w:type="dxa"/>
              <w:right w:w="0" w:type="dxa"/>
            </w:tcMar>
            <w:vAlign w:val="center"/>
          </w:tcPr>
          <w:p w14:paraId="77128C30">
            <w:pPr>
              <w:autoSpaceDE w:val="0"/>
              <w:autoSpaceDN w:val="0"/>
              <w:adjustRightInd w:val="0"/>
              <w:spacing w:line="400" w:lineRule="exact"/>
              <w:jc w:val="center"/>
              <w:rPr>
                <w:rFonts w:ascii="仿宋_GB2312" w:eastAsia="仿宋_GB2312" w:cs="仿宋_GB2312"/>
                <w:kern w:val="0"/>
                <w:sz w:val="28"/>
                <w:szCs w:val="28"/>
              </w:rPr>
            </w:pPr>
            <w:r>
              <w:rPr>
                <w:rFonts w:hint="eastAsia" w:ascii="仿宋_GB2312" w:eastAsia="仿宋_GB2312" w:cs="仿宋_GB2312"/>
                <w:kern w:val="0"/>
                <w:sz w:val="28"/>
                <w:szCs w:val="28"/>
              </w:rPr>
              <w:t>备   注</w:t>
            </w:r>
          </w:p>
        </w:tc>
        <w:tc>
          <w:tcPr>
            <w:tcW w:w="6237" w:type="dxa"/>
            <w:gridSpan w:val="3"/>
            <w:tcBorders>
              <w:top w:val="single" w:color="auto" w:sz="6" w:space="0"/>
              <w:left w:val="single" w:color="auto" w:sz="6" w:space="0"/>
              <w:bottom w:val="single" w:color="auto" w:sz="6" w:space="0"/>
              <w:right w:val="single" w:color="auto" w:sz="6" w:space="0"/>
            </w:tcBorders>
            <w:tcMar>
              <w:top w:w="113" w:type="dxa"/>
              <w:left w:w="0" w:type="dxa"/>
              <w:bottom w:w="113" w:type="dxa"/>
              <w:right w:w="0" w:type="dxa"/>
            </w:tcMar>
            <w:vAlign w:val="center"/>
          </w:tcPr>
          <w:p w14:paraId="08B487F0">
            <w:pPr>
              <w:autoSpaceDE w:val="0"/>
              <w:autoSpaceDN w:val="0"/>
              <w:adjustRightInd w:val="0"/>
              <w:spacing w:line="400" w:lineRule="exact"/>
              <w:jc w:val="center"/>
              <w:rPr>
                <w:rFonts w:ascii="仿宋_GB2312" w:eastAsia="仿宋_GB2312" w:cs="仿宋_GB2312"/>
                <w:kern w:val="0"/>
                <w:sz w:val="28"/>
                <w:szCs w:val="28"/>
              </w:rPr>
            </w:pPr>
          </w:p>
        </w:tc>
      </w:tr>
    </w:tbl>
    <w:p w14:paraId="3F04F96F">
      <w:pPr>
        <w:pStyle w:val="2"/>
        <w:spacing w:after="0" w:line="500" w:lineRule="exact"/>
        <w:ind w:left="0" w:leftChars="0"/>
        <w:rPr>
          <w:rFonts w:ascii="仿宋_GB2312" w:eastAsia="仿宋_GB2312" w:cs="仿宋_GB2312"/>
          <w:kern w:val="0"/>
          <w:sz w:val="28"/>
          <w:szCs w:val="28"/>
        </w:rPr>
      </w:pPr>
      <w:r>
        <w:rPr>
          <w:rFonts w:hint="eastAsia" w:ascii="仿宋_GB2312" w:eastAsia="仿宋_GB2312" w:cs="仿宋_GB2312"/>
          <w:kern w:val="0"/>
          <w:sz w:val="28"/>
          <w:szCs w:val="28"/>
        </w:rPr>
        <w:t>注：有效期限到期后请及时按照申办流程重新申办相关手续。</w:t>
      </w:r>
    </w:p>
    <w:p w14:paraId="20620CE8">
      <w:pPr>
        <w:pStyle w:val="2"/>
        <w:spacing w:after="0" w:line="500" w:lineRule="exact"/>
        <w:ind w:left="0" w:leftChars="0"/>
        <w:rPr>
          <w:rFonts w:ascii="仿宋_GB2312" w:eastAsia="仿宋_GB2312" w:cs="仿宋_GB2312"/>
          <w:kern w:val="0"/>
          <w:sz w:val="28"/>
          <w:szCs w:val="28"/>
        </w:rPr>
      </w:pPr>
    </w:p>
    <w:p w14:paraId="0F273CD7">
      <w:pPr>
        <w:pStyle w:val="2"/>
        <w:spacing w:after="0" w:line="500" w:lineRule="exact"/>
        <w:ind w:left="0" w:leftChars="0"/>
        <w:rPr>
          <w:rFonts w:ascii="仿宋_GB2312" w:eastAsia="仿宋_GB2312" w:cs="仿宋_GB2312"/>
          <w:kern w:val="0"/>
          <w:sz w:val="28"/>
          <w:szCs w:val="28"/>
        </w:rPr>
        <w:sectPr>
          <w:pgSz w:w="11906" w:h="16838"/>
          <w:pgMar w:top="1814" w:right="1587" w:bottom="1587" w:left="1587" w:header="851" w:footer="992" w:gutter="0"/>
          <w:pgBorders>
            <w:top w:val="none" w:sz="0" w:space="0"/>
            <w:left w:val="none" w:sz="0" w:space="0"/>
            <w:bottom w:val="none" w:sz="0" w:space="0"/>
            <w:right w:val="none" w:sz="0" w:space="0"/>
          </w:pgBorders>
          <w:cols w:space="0" w:num="1"/>
          <w:docGrid w:type="lines" w:linePitch="323" w:charSpace="0"/>
        </w:sectPr>
      </w:pPr>
    </w:p>
    <w:p w14:paraId="2206D137">
      <w:pPr>
        <w:overflowPunct w:val="0"/>
        <w:autoSpaceDE w:val="0"/>
        <w:autoSpaceDN w:val="0"/>
        <w:adjustRightInd w:val="0"/>
        <w:snapToGrid w:val="0"/>
        <w:spacing w:after="161" w:afterLines="50" w:line="400" w:lineRule="exact"/>
        <w:rPr>
          <w:rFonts w:ascii="方正小标宋简体" w:eastAsia="方正小标宋简体"/>
          <w:sz w:val="40"/>
          <w:szCs w:val="40"/>
        </w:rPr>
      </w:pPr>
      <w:r>
        <w:rPr>
          <w:rFonts w:hint="eastAsia" w:ascii="黑体" w:hAnsi="Times New Roman" w:eastAsia="黑体" w:cs="Times New Roman"/>
          <w:sz w:val="32"/>
          <w:szCs w:val="32"/>
        </w:rPr>
        <w:t>附件5</w:t>
      </w:r>
    </w:p>
    <w:p w14:paraId="5EE7F7F6">
      <w:pPr>
        <w:pStyle w:val="2"/>
        <w:overflowPunct w:val="0"/>
        <w:autoSpaceDE w:val="0"/>
        <w:autoSpaceDN w:val="0"/>
        <w:spacing w:after="161" w:afterLines="50" w:line="560" w:lineRule="exact"/>
        <w:ind w:left="0" w:leftChars="0"/>
        <w:jc w:val="center"/>
        <w:rPr>
          <w:rFonts w:hint="eastAsia" w:ascii="方正小标宋简体" w:eastAsia="方正小标宋简体"/>
          <w:sz w:val="40"/>
          <w:szCs w:val="40"/>
        </w:rPr>
      </w:pPr>
    </w:p>
    <w:p w14:paraId="169CE711">
      <w:pPr>
        <w:pStyle w:val="2"/>
        <w:overflowPunct w:val="0"/>
        <w:autoSpaceDE w:val="0"/>
        <w:autoSpaceDN w:val="0"/>
        <w:spacing w:after="161" w:afterLines="50" w:line="560" w:lineRule="exact"/>
        <w:ind w:left="0" w:leftChars="0"/>
        <w:jc w:val="center"/>
        <w:rPr>
          <w:rFonts w:ascii="方正小标宋简体" w:eastAsia="方正小标宋简体"/>
          <w:sz w:val="40"/>
          <w:szCs w:val="40"/>
        </w:rPr>
      </w:pPr>
      <w:r>
        <w:rPr>
          <w:rFonts w:hint="eastAsia" w:ascii="方正小标宋简体" w:eastAsia="方正小标宋简体"/>
          <w:sz w:val="40"/>
          <w:szCs w:val="40"/>
        </w:rPr>
        <w:t>甘肃省基本医疗保险门诊慢特病病种变更申请表</w:t>
      </w:r>
    </w:p>
    <w:tbl>
      <w:tblPr>
        <w:tblStyle w:val="13"/>
        <w:tblW w:w="5000" w:type="pct"/>
        <w:jc w:val="center"/>
        <w:tblLayout w:type="fixed"/>
        <w:tblCellMar>
          <w:top w:w="0" w:type="dxa"/>
          <w:left w:w="0" w:type="dxa"/>
          <w:bottom w:w="0" w:type="dxa"/>
          <w:right w:w="0" w:type="dxa"/>
        </w:tblCellMar>
      </w:tblPr>
      <w:tblGrid>
        <w:gridCol w:w="1848"/>
        <w:gridCol w:w="1600"/>
        <w:gridCol w:w="800"/>
        <w:gridCol w:w="1375"/>
        <w:gridCol w:w="1108"/>
        <w:gridCol w:w="2011"/>
      </w:tblGrid>
      <w:tr w14:paraId="0A272D12">
        <w:tblPrEx>
          <w:tblCellMar>
            <w:top w:w="0" w:type="dxa"/>
            <w:left w:w="0" w:type="dxa"/>
            <w:bottom w:w="0" w:type="dxa"/>
            <w:right w:w="0" w:type="dxa"/>
          </w:tblCellMar>
        </w:tblPrEx>
        <w:trPr>
          <w:trHeight w:val="454" w:hRule="atLeast"/>
          <w:jc w:val="center"/>
        </w:trPr>
        <w:tc>
          <w:tcPr>
            <w:tcW w:w="1843" w:type="dxa"/>
            <w:tcBorders>
              <w:top w:val="single" w:color="auto" w:sz="4" w:space="0"/>
              <w:left w:val="single" w:color="auto" w:sz="4" w:space="0"/>
              <w:bottom w:val="single" w:color="auto" w:sz="4" w:space="0"/>
              <w:right w:val="single" w:color="auto" w:sz="4" w:space="0"/>
            </w:tcBorders>
            <w:shd w:val="clear" w:color="auto" w:fill="auto"/>
            <w:noWrap/>
            <w:tcMar>
              <w:top w:w="0" w:type="dxa"/>
              <w:left w:w="0" w:type="dxa"/>
              <w:bottom w:w="0" w:type="dxa"/>
              <w:right w:w="0" w:type="dxa"/>
            </w:tcMar>
            <w:vAlign w:val="center"/>
          </w:tcPr>
          <w:p w14:paraId="6DE0D043">
            <w:pPr>
              <w:adjustRightInd w:val="0"/>
              <w:spacing w:line="360" w:lineRule="exact"/>
              <w:jc w:val="center"/>
              <w:rPr>
                <w:rFonts w:ascii="仿宋_GB2312" w:hAnsi="宋体" w:eastAsia="仿宋_GB2312" w:cs="宋体"/>
                <w:sz w:val="24"/>
              </w:rPr>
            </w:pPr>
            <w:r>
              <w:rPr>
                <w:rFonts w:hint="eastAsia" w:ascii="仿宋_GB2312" w:eastAsia="仿宋_GB2312"/>
                <w:sz w:val="24"/>
              </w:rPr>
              <w:t>姓 名</w:t>
            </w:r>
          </w:p>
        </w:tc>
        <w:tc>
          <w:tcPr>
            <w:tcW w:w="1596" w:type="dxa"/>
            <w:tcBorders>
              <w:top w:val="single" w:color="auto" w:sz="4" w:space="0"/>
              <w:left w:val="nil"/>
              <w:bottom w:val="single" w:color="auto" w:sz="4" w:space="0"/>
              <w:right w:val="single" w:color="auto" w:sz="4" w:space="0"/>
            </w:tcBorders>
            <w:shd w:val="clear" w:color="auto" w:fill="auto"/>
            <w:noWrap/>
            <w:tcMar>
              <w:top w:w="0" w:type="dxa"/>
              <w:left w:w="0" w:type="dxa"/>
              <w:bottom w:w="0" w:type="dxa"/>
              <w:right w:w="0" w:type="dxa"/>
            </w:tcMar>
            <w:vAlign w:val="center"/>
          </w:tcPr>
          <w:p w14:paraId="67D673B0">
            <w:pPr>
              <w:adjustRightInd w:val="0"/>
              <w:spacing w:line="360" w:lineRule="exact"/>
              <w:jc w:val="center"/>
              <w:rPr>
                <w:rFonts w:ascii="仿宋_GB2312" w:hAnsi="宋体" w:eastAsia="仿宋_GB2312" w:cs="宋体"/>
                <w:sz w:val="24"/>
              </w:rPr>
            </w:pPr>
          </w:p>
        </w:tc>
        <w:tc>
          <w:tcPr>
            <w:tcW w:w="798" w:type="dxa"/>
            <w:tcBorders>
              <w:top w:val="single" w:color="auto" w:sz="4" w:space="0"/>
              <w:left w:val="nil"/>
              <w:bottom w:val="single" w:color="auto" w:sz="4" w:space="0"/>
              <w:right w:val="single" w:color="auto" w:sz="4" w:space="0"/>
            </w:tcBorders>
            <w:shd w:val="clear" w:color="auto" w:fill="auto"/>
            <w:noWrap/>
            <w:tcMar>
              <w:top w:w="0" w:type="dxa"/>
              <w:left w:w="0" w:type="dxa"/>
              <w:bottom w:w="0" w:type="dxa"/>
              <w:right w:w="0" w:type="dxa"/>
            </w:tcMar>
            <w:vAlign w:val="center"/>
          </w:tcPr>
          <w:p w14:paraId="3CE80BD1">
            <w:pPr>
              <w:adjustRightInd w:val="0"/>
              <w:spacing w:line="360" w:lineRule="exact"/>
              <w:jc w:val="center"/>
              <w:rPr>
                <w:rFonts w:ascii="仿宋_GB2312" w:hAnsi="宋体" w:eastAsia="仿宋_GB2312" w:cs="宋体"/>
                <w:sz w:val="24"/>
              </w:rPr>
            </w:pPr>
            <w:r>
              <w:rPr>
                <w:rFonts w:hint="eastAsia" w:ascii="仿宋_GB2312" w:eastAsia="仿宋_GB2312"/>
                <w:sz w:val="24"/>
              </w:rPr>
              <w:t>性 别</w:t>
            </w:r>
          </w:p>
        </w:tc>
        <w:tc>
          <w:tcPr>
            <w:tcW w:w="1372" w:type="dxa"/>
            <w:tcBorders>
              <w:top w:val="single" w:color="auto" w:sz="4" w:space="0"/>
              <w:left w:val="nil"/>
              <w:bottom w:val="single" w:color="auto" w:sz="4" w:space="0"/>
              <w:right w:val="single" w:color="auto" w:sz="4" w:space="0"/>
            </w:tcBorders>
            <w:shd w:val="clear" w:color="auto" w:fill="auto"/>
            <w:noWrap/>
            <w:tcMar>
              <w:top w:w="0" w:type="dxa"/>
              <w:left w:w="0" w:type="dxa"/>
              <w:bottom w:w="0" w:type="dxa"/>
              <w:right w:w="0" w:type="dxa"/>
            </w:tcMar>
            <w:vAlign w:val="center"/>
          </w:tcPr>
          <w:p w14:paraId="1211B636">
            <w:pPr>
              <w:adjustRightInd w:val="0"/>
              <w:spacing w:line="360" w:lineRule="exact"/>
              <w:jc w:val="center"/>
              <w:rPr>
                <w:rFonts w:ascii="仿宋_GB2312" w:hAnsi="宋体" w:eastAsia="仿宋_GB2312" w:cs="宋体"/>
                <w:sz w:val="24"/>
              </w:rPr>
            </w:pPr>
          </w:p>
        </w:tc>
        <w:tc>
          <w:tcPr>
            <w:tcW w:w="1105" w:type="dxa"/>
            <w:tcBorders>
              <w:top w:val="single" w:color="auto" w:sz="4" w:space="0"/>
              <w:left w:val="nil"/>
              <w:bottom w:val="single" w:color="auto" w:sz="4" w:space="0"/>
              <w:right w:val="single" w:color="auto" w:sz="4" w:space="0"/>
            </w:tcBorders>
            <w:shd w:val="clear" w:color="auto" w:fill="auto"/>
            <w:noWrap/>
            <w:tcMar>
              <w:top w:w="0" w:type="dxa"/>
              <w:left w:w="0" w:type="dxa"/>
              <w:bottom w:w="0" w:type="dxa"/>
              <w:right w:w="0" w:type="dxa"/>
            </w:tcMar>
            <w:vAlign w:val="center"/>
          </w:tcPr>
          <w:p w14:paraId="684EE958">
            <w:pPr>
              <w:adjustRightInd w:val="0"/>
              <w:spacing w:line="360" w:lineRule="exact"/>
              <w:jc w:val="center"/>
              <w:rPr>
                <w:rFonts w:ascii="仿宋_GB2312" w:hAnsi="宋体" w:eastAsia="仿宋_GB2312" w:cs="宋体"/>
                <w:sz w:val="24"/>
              </w:rPr>
            </w:pPr>
            <w:r>
              <w:rPr>
                <w:rFonts w:hint="eastAsia" w:ascii="仿宋_GB2312" w:eastAsia="仿宋_GB2312"/>
                <w:sz w:val="24"/>
              </w:rPr>
              <w:t>年 龄</w:t>
            </w:r>
          </w:p>
        </w:tc>
        <w:tc>
          <w:tcPr>
            <w:tcW w:w="2006" w:type="dxa"/>
            <w:tcBorders>
              <w:top w:val="single" w:color="auto" w:sz="4" w:space="0"/>
              <w:left w:val="nil"/>
              <w:bottom w:val="single" w:color="auto" w:sz="4" w:space="0"/>
              <w:right w:val="single" w:color="auto" w:sz="4" w:space="0"/>
            </w:tcBorders>
            <w:shd w:val="clear" w:color="auto" w:fill="auto"/>
            <w:noWrap/>
            <w:tcMar>
              <w:top w:w="0" w:type="dxa"/>
              <w:left w:w="0" w:type="dxa"/>
              <w:bottom w:w="0" w:type="dxa"/>
              <w:right w:w="0" w:type="dxa"/>
            </w:tcMar>
            <w:vAlign w:val="center"/>
          </w:tcPr>
          <w:p w14:paraId="19256820">
            <w:pPr>
              <w:adjustRightInd w:val="0"/>
              <w:spacing w:line="360" w:lineRule="exact"/>
              <w:jc w:val="center"/>
              <w:rPr>
                <w:rFonts w:ascii="仿宋_GB2312" w:hAnsi="宋体" w:eastAsia="仿宋_GB2312" w:cs="宋体"/>
                <w:sz w:val="24"/>
              </w:rPr>
            </w:pPr>
          </w:p>
        </w:tc>
      </w:tr>
      <w:tr w14:paraId="1E83406A">
        <w:tblPrEx>
          <w:tblCellMar>
            <w:top w:w="0" w:type="dxa"/>
            <w:left w:w="0" w:type="dxa"/>
            <w:bottom w:w="0" w:type="dxa"/>
            <w:right w:w="0" w:type="dxa"/>
          </w:tblCellMar>
        </w:tblPrEx>
        <w:trPr>
          <w:trHeight w:val="454" w:hRule="atLeast"/>
          <w:jc w:val="center"/>
        </w:trPr>
        <w:tc>
          <w:tcPr>
            <w:tcW w:w="1843" w:type="dxa"/>
            <w:tcBorders>
              <w:top w:val="nil"/>
              <w:left w:val="single" w:color="auto" w:sz="4" w:space="0"/>
              <w:bottom w:val="single" w:color="auto" w:sz="4" w:space="0"/>
              <w:right w:val="single" w:color="auto" w:sz="4" w:space="0"/>
            </w:tcBorders>
            <w:shd w:val="clear" w:color="auto" w:fill="auto"/>
            <w:noWrap/>
            <w:tcMar>
              <w:top w:w="0" w:type="dxa"/>
              <w:left w:w="0" w:type="dxa"/>
              <w:bottom w:w="0" w:type="dxa"/>
              <w:right w:w="0" w:type="dxa"/>
            </w:tcMar>
            <w:vAlign w:val="center"/>
          </w:tcPr>
          <w:p w14:paraId="05F903D3">
            <w:pPr>
              <w:adjustRightInd w:val="0"/>
              <w:spacing w:line="360" w:lineRule="exact"/>
              <w:jc w:val="center"/>
              <w:rPr>
                <w:rFonts w:ascii="仿宋_GB2312" w:hAnsi="宋体" w:eastAsia="仿宋_GB2312" w:cs="宋体"/>
                <w:spacing w:val="-6"/>
                <w:sz w:val="24"/>
              </w:rPr>
            </w:pPr>
            <w:r>
              <w:rPr>
                <w:rFonts w:hint="eastAsia" w:ascii="仿宋_GB2312" w:eastAsia="仿宋_GB2312"/>
                <w:spacing w:val="-6"/>
                <w:sz w:val="24"/>
              </w:rPr>
              <w:t>工作单位（职工）</w:t>
            </w:r>
          </w:p>
        </w:tc>
        <w:tc>
          <w:tcPr>
            <w:tcW w:w="3766" w:type="dxa"/>
            <w:gridSpan w:val="3"/>
            <w:tcBorders>
              <w:top w:val="single" w:color="auto" w:sz="4" w:space="0"/>
              <w:left w:val="nil"/>
              <w:bottom w:val="single" w:color="auto" w:sz="4" w:space="0"/>
              <w:right w:val="single" w:color="000000" w:sz="4" w:space="0"/>
            </w:tcBorders>
            <w:shd w:val="clear" w:color="auto" w:fill="auto"/>
            <w:noWrap/>
            <w:tcMar>
              <w:top w:w="0" w:type="dxa"/>
              <w:left w:w="0" w:type="dxa"/>
              <w:bottom w:w="0" w:type="dxa"/>
              <w:right w:w="0" w:type="dxa"/>
            </w:tcMar>
            <w:vAlign w:val="center"/>
          </w:tcPr>
          <w:p w14:paraId="6A7FEA7D">
            <w:pPr>
              <w:adjustRightInd w:val="0"/>
              <w:spacing w:line="360" w:lineRule="exact"/>
              <w:jc w:val="center"/>
              <w:rPr>
                <w:rFonts w:ascii="仿宋_GB2312" w:hAnsi="宋体" w:eastAsia="仿宋_GB2312" w:cs="宋体"/>
                <w:sz w:val="24"/>
              </w:rPr>
            </w:pPr>
          </w:p>
        </w:tc>
        <w:tc>
          <w:tcPr>
            <w:tcW w:w="1105" w:type="dxa"/>
            <w:tcBorders>
              <w:top w:val="nil"/>
              <w:left w:val="nil"/>
              <w:bottom w:val="single" w:color="auto" w:sz="4" w:space="0"/>
              <w:right w:val="single" w:color="auto" w:sz="4" w:space="0"/>
            </w:tcBorders>
            <w:shd w:val="clear" w:color="auto" w:fill="auto"/>
            <w:noWrap/>
            <w:tcMar>
              <w:top w:w="0" w:type="dxa"/>
              <w:left w:w="0" w:type="dxa"/>
              <w:bottom w:w="0" w:type="dxa"/>
              <w:right w:w="0" w:type="dxa"/>
            </w:tcMar>
            <w:vAlign w:val="center"/>
          </w:tcPr>
          <w:p w14:paraId="412B4AD8">
            <w:pPr>
              <w:adjustRightInd w:val="0"/>
              <w:spacing w:line="360" w:lineRule="exact"/>
              <w:jc w:val="center"/>
              <w:rPr>
                <w:rFonts w:ascii="仿宋_GB2312" w:hAnsi="宋体" w:eastAsia="仿宋_GB2312" w:cs="宋体"/>
                <w:sz w:val="24"/>
              </w:rPr>
            </w:pPr>
            <w:r>
              <w:rPr>
                <w:rFonts w:hint="eastAsia" w:ascii="仿宋_GB2312" w:eastAsia="仿宋_GB2312"/>
                <w:sz w:val="24"/>
              </w:rPr>
              <w:t>联系电话</w:t>
            </w:r>
          </w:p>
        </w:tc>
        <w:tc>
          <w:tcPr>
            <w:tcW w:w="2006" w:type="dxa"/>
            <w:tcBorders>
              <w:top w:val="nil"/>
              <w:left w:val="nil"/>
              <w:bottom w:val="single" w:color="auto" w:sz="4" w:space="0"/>
              <w:right w:val="single" w:color="auto" w:sz="4" w:space="0"/>
            </w:tcBorders>
            <w:shd w:val="clear" w:color="auto" w:fill="auto"/>
            <w:noWrap/>
            <w:tcMar>
              <w:top w:w="0" w:type="dxa"/>
              <w:left w:w="0" w:type="dxa"/>
              <w:bottom w:w="0" w:type="dxa"/>
              <w:right w:w="0" w:type="dxa"/>
            </w:tcMar>
            <w:vAlign w:val="center"/>
          </w:tcPr>
          <w:p w14:paraId="3C9E1838">
            <w:pPr>
              <w:adjustRightInd w:val="0"/>
              <w:spacing w:line="360" w:lineRule="exact"/>
              <w:jc w:val="center"/>
              <w:rPr>
                <w:rFonts w:ascii="仿宋_GB2312" w:hAnsi="宋体" w:eastAsia="仿宋_GB2312" w:cs="宋体"/>
                <w:sz w:val="24"/>
              </w:rPr>
            </w:pPr>
          </w:p>
        </w:tc>
      </w:tr>
      <w:tr w14:paraId="05B097EF">
        <w:tblPrEx>
          <w:tblCellMar>
            <w:top w:w="0" w:type="dxa"/>
            <w:left w:w="0" w:type="dxa"/>
            <w:bottom w:w="0" w:type="dxa"/>
            <w:right w:w="0" w:type="dxa"/>
          </w:tblCellMar>
        </w:tblPrEx>
        <w:trPr>
          <w:trHeight w:val="454" w:hRule="atLeast"/>
          <w:jc w:val="center"/>
        </w:trPr>
        <w:tc>
          <w:tcPr>
            <w:tcW w:w="1843" w:type="dxa"/>
            <w:tcBorders>
              <w:top w:val="nil"/>
              <w:left w:val="single" w:color="auto" w:sz="4" w:space="0"/>
              <w:bottom w:val="single" w:color="auto" w:sz="4" w:space="0"/>
              <w:right w:val="single" w:color="auto" w:sz="4" w:space="0"/>
            </w:tcBorders>
            <w:shd w:val="clear" w:color="auto" w:fill="auto"/>
            <w:noWrap/>
            <w:tcMar>
              <w:top w:w="0" w:type="dxa"/>
              <w:left w:w="0" w:type="dxa"/>
              <w:bottom w:w="0" w:type="dxa"/>
              <w:right w:w="0" w:type="dxa"/>
            </w:tcMar>
            <w:vAlign w:val="center"/>
          </w:tcPr>
          <w:p w14:paraId="671BC10D">
            <w:pPr>
              <w:adjustRightInd w:val="0"/>
              <w:spacing w:line="360" w:lineRule="exact"/>
              <w:jc w:val="center"/>
              <w:rPr>
                <w:rFonts w:ascii="仿宋_GB2312" w:eastAsia="仿宋_GB2312"/>
                <w:sz w:val="24"/>
              </w:rPr>
            </w:pPr>
            <w:r>
              <w:rPr>
                <w:rFonts w:hint="eastAsia" w:ascii="仿宋_GB2312" w:eastAsia="仿宋_GB2312"/>
                <w:sz w:val="24"/>
              </w:rPr>
              <w:t>家庭住址</w:t>
            </w:r>
          </w:p>
        </w:tc>
        <w:tc>
          <w:tcPr>
            <w:tcW w:w="6877" w:type="dxa"/>
            <w:gridSpan w:val="5"/>
            <w:tcBorders>
              <w:top w:val="single" w:color="auto" w:sz="4" w:space="0"/>
              <w:left w:val="nil"/>
              <w:bottom w:val="single" w:color="auto" w:sz="4" w:space="0"/>
              <w:right w:val="single" w:color="auto" w:sz="4" w:space="0"/>
            </w:tcBorders>
            <w:shd w:val="clear" w:color="auto" w:fill="auto"/>
            <w:noWrap/>
            <w:tcMar>
              <w:top w:w="0" w:type="dxa"/>
              <w:left w:w="0" w:type="dxa"/>
              <w:bottom w:w="0" w:type="dxa"/>
              <w:right w:w="0" w:type="dxa"/>
            </w:tcMar>
            <w:vAlign w:val="center"/>
          </w:tcPr>
          <w:p w14:paraId="799FC30F">
            <w:pPr>
              <w:adjustRightInd w:val="0"/>
              <w:spacing w:line="360" w:lineRule="exact"/>
              <w:jc w:val="center"/>
              <w:rPr>
                <w:rFonts w:ascii="仿宋_GB2312" w:eastAsia="仿宋_GB2312"/>
                <w:sz w:val="24"/>
              </w:rPr>
            </w:pPr>
          </w:p>
        </w:tc>
      </w:tr>
      <w:tr w14:paraId="4C2A5798">
        <w:tblPrEx>
          <w:tblCellMar>
            <w:top w:w="0" w:type="dxa"/>
            <w:left w:w="0" w:type="dxa"/>
            <w:bottom w:w="0" w:type="dxa"/>
            <w:right w:w="0" w:type="dxa"/>
          </w:tblCellMar>
        </w:tblPrEx>
        <w:trPr>
          <w:trHeight w:val="454" w:hRule="atLeast"/>
          <w:jc w:val="center"/>
        </w:trPr>
        <w:tc>
          <w:tcPr>
            <w:tcW w:w="1843" w:type="dxa"/>
            <w:tcBorders>
              <w:top w:val="nil"/>
              <w:left w:val="single" w:color="auto" w:sz="4" w:space="0"/>
              <w:bottom w:val="single" w:color="auto" w:sz="4" w:space="0"/>
              <w:right w:val="single" w:color="auto" w:sz="4" w:space="0"/>
            </w:tcBorders>
            <w:shd w:val="clear" w:color="auto" w:fill="auto"/>
            <w:noWrap/>
            <w:tcMar>
              <w:top w:w="0" w:type="dxa"/>
              <w:left w:w="0" w:type="dxa"/>
              <w:bottom w:w="0" w:type="dxa"/>
              <w:right w:w="0" w:type="dxa"/>
            </w:tcMar>
            <w:vAlign w:val="center"/>
          </w:tcPr>
          <w:p w14:paraId="53065CD4">
            <w:pPr>
              <w:adjustRightInd w:val="0"/>
              <w:spacing w:line="360" w:lineRule="exact"/>
              <w:jc w:val="center"/>
              <w:rPr>
                <w:rFonts w:ascii="仿宋_GB2312" w:hAnsi="宋体" w:eastAsia="仿宋_GB2312" w:cs="宋体"/>
                <w:sz w:val="24"/>
              </w:rPr>
            </w:pPr>
            <w:r>
              <w:rPr>
                <w:rFonts w:hint="eastAsia" w:ascii="仿宋_GB2312" w:eastAsia="仿宋_GB2312"/>
                <w:sz w:val="24"/>
              </w:rPr>
              <w:t>身份证号</w:t>
            </w:r>
          </w:p>
        </w:tc>
        <w:tc>
          <w:tcPr>
            <w:tcW w:w="3766" w:type="dxa"/>
            <w:gridSpan w:val="3"/>
            <w:tcBorders>
              <w:top w:val="single" w:color="auto" w:sz="4" w:space="0"/>
              <w:left w:val="nil"/>
              <w:bottom w:val="single" w:color="auto" w:sz="4" w:space="0"/>
              <w:right w:val="single" w:color="000000" w:sz="4" w:space="0"/>
            </w:tcBorders>
            <w:shd w:val="clear" w:color="auto" w:fill="auto"/>
            <w:noWrap/>
            <w:tcMar>
              <w:top w:w="0" w:type="dxa"/>
              <w:left w:w="0" w:type="dxa"/>
              <w:bottom w:w="0" w:type="dxa"/>
              <w:right w:w="0" w:type="dxa"/>
            </w:tcMar>
            <w:vAlign w:val="center"/>
          </w:tcPr>
          <w:p w14:paraId="34718751">
            <w:pPr>
              <w:adjustRightInd w:val="0"/>
              <w:spacing w:line="360" w:lineRule="exact"/>
              <w:jc w:val="center"/>
              <w:rPr>
                <w:rFonts w:ascii="仿宋_GB2312" w:hAnsi="宋体" w:eastAsia="仿宋_GB2312" w:cs="宋体"/>
                <w:sz w:val="24"/>
              </w:rPr>
            </w:pPr>
          </w:p>
        </w:tc>
        <w:tc>
          <w:tcPr>
            <w:tcW w:w="1105" w:type="dxa"/>
            <w:tcBorders>
              <w:top w:val="nil"/>
              <w:left w:val="nil"/>
              <w:bottom w:val="single" w:color="auto" w:sz="4" w:space="0"/>
              <w:right w:val="single" w:color="auto" w:sz="4" w:space="0"/>
            </w:tcBorders>
            <w:shd w:val="clear" w:color="auto" w:fill="auto"/>
            <w:noWrap/>
            <w:tcMar>
              <w:top w:w="0" w:type="dxa"/>
              <w:left w:w="0" w:type="dxa"/>
              <w:bottom w:w="0" w:type="dxa"/>
              <w:right w:w="0" w:type="dxa"/>
            </w:tcMar>
            <w:vAlign w:val="center"/>
          </w:tcPr>
          <w:p w14:paraId="432F2C64">
            <w:pPr>
              <w:adjustRightInd w:val="0"/>
              <w:spacing w:line="360" w:lineRule="exact"/>
              <w:jc w:val="center"/>
              <w:rPr>
                <w:rFonts w:ascii="仿宋_GB2312" w:hAnsi="宋体" w:eastAsia="仿宋_GB2312" w:cs="宋体"/>
                <w:sz w:val="24"/>
              </w:rPr>
            </w:pPr>
            <w:r>
              <w:rPr>
                <w:rFonts w:hint="eastAsia" w:ascii="仿宋_GB2312" w:eastAsia="仿宋_GB2312"/>
                <w:sz w:val="24"/>
              </w:rPr>
              <w:t>社保卡号</w:t>
            </w:r>
          </w:p>
        </w:tc>
        <w:tc>
          <w:tcPr>
            <w:tcW w:w="2006" w:type="dxa"/>
            <w:tcBorders>
              <w:top w:val="nil"/>
              <w:left w:val="nil"/>
              <w:bottom w:val="single" w:color="auto" w:sz="4" w:space="0"/>
              <w:right w:val="single" w:color="auto" w:sz="4" w:space="0"/>
            </w:tcBorders>
            <w:shd w:val="clear" w:color="auto" w:fill="auto"/>
            <w:noWrap/>
            <w:tcMar>
              <w:top w:w="0" w:type="dxa"/>
              <w:left w:w="0" w:type="dxa"/>
              <w:bottom w:w="0" w:type="dxa"/>
              <w:right w:w="0" w:type="dxa"/>
            </w:tcMar>
            <w:vAlign w:val="center"/>
          </w:tcPr>
          <w:p w14:paraId="2FF2850E">
            <w:pPr>
              <w:adjustRightInd w:val="0"/>
              <w:spacing w:line="360" w:lineRule="exact"/>
              <w:jc w:val="center"/>
              <w:rPr>
                <w:rFonts w:ascii="仿宋_GB2312" w:hAnsi="宋体" w:eastAsia="仿宋_GB2312" w:cs="宋体"/>
                <w:sz w:val="24"/>
              </w:rPr>
            </w:pPr>
          </w:p>
        </w:tc>
      </w:tr>
      <w:tr w14:paraId="5A1D7DB1">
        <w:tblPrEx>
          <w:tblCellMar>
            <w:top w:w="0" w:type="dxa"/>
            <w:left w:w="0" w:type="dxa"/>
            <w:bottom w:w="0" w:type="dxa"/>
            <w:right w:w="0" w:type="dxa"/>
          </w:tblCellMar>
        </w:tblPrEx>
        <w:trPr>
          <w:trHeight w:val="454" w:hRule="atLeast"/>
          <w:jc w:val="center"/>
        </w:trPr>
        <w:tc>
          <w:tcPr>
            <w:tcW w:w="1843" w:type="dxa"/>
            <w:tcBorders>
              <w:top w:val="nil"/>
              <w:left w:val="single" w:color="auto" w:sz="4" w:space="0"/>
              <w:bottom w:val="single" w:color="auto" w:sz="4" w:space="0"/>
              <w:right w:val="single" w:color="auto" w:sz="4" w:space="0"/>
            </w:tcBorders>
            <w:shd w:val="clear" w:color="auto" w:fill="auto"/>
            <w:noWrap/>
            <w:tcMar>
              <w:top w:w="0" w:type="dxa"/>
              <w:left w:w="0" w:type="dxa"/>
              <w:bottom w:w="0" w:type="dxa"/>
              <w:right w:w="0" w:type="dxa"/>
            </w:tcMar>
            <w:vAlign w:val="center"/>
          </w:tcPr>
          <w:p w14:paraId="4B654067">
            <w:pPr>
              <w:adjustRightInd w:val="0"/>
              <w:spacing w:line="360" w:lineRule="exact"/>
              <w:jc w:val="center"/>
              <w:rPr>
                <w:rFonts w:ascii="仿宋_GB2312" w:hAnsi="宋体" w:eastAsia="仿宋_GB2312" w:cs="宋体"/>
                <w:sz w:val="24"/>
              </w:rPr>
            </w:pPr>
            <w:r>
              <w:rPr>
                <w:rFonts w:hint="eastAsia" w:ascii="仿宋_GB2312" w:eastAsia="仿宋_GB2312"/>
                <w:sz w:val="24"/>
              </w:rPr>
              <w:t>原申报病种</w:t>
            </w:r>
          </w:p>
        </w:tc>
        <w:tc>
          <w:tcPr>
            <w:tcW w:w="2394" w:type="dxa"/>
            <w:gridSpan w:val="2"/>
            <w:tcBorders>
              <w:top w:val="single" w:color="auto" w:sz="4" w:space="0"/>
              <w:left w:val="nil"/>
              <w:bottom w:val="single" w:color="auto" w:sz="4" w:space="0"/>
              <w:right w:val="single" w:color="000000" w:sz="4" w:space="0"/>
            </w:tcBorders>
            <w:shd w:val="clear" w:color="auto" w:fill="auto"/>
            <w:noWrap/>
            <w:tcMar>
              <w:top w:w="0" w:type="dxa"/>
              <w:left w:w="0" w:type="dxa"/>
              <w:bottom w:w="0" w:type="dxa"/>
              <w:right w:w="0" w:type="dxa"/>
            </w:tcMar>
            <w:vAlign w:val="center"/>
          </w:tcPr>
          <w:p w14:paraId="697CFA9E">
            <w:pPr>
              <w:adjustRightInd w:val="0"/>
              <w:spacing w:line="360" w:lineRule="exact"/>
              <w:jc w:val="center"/>
              <w:rPr>
                <w:rFonts w:ascii="仿宋_GB2312" w:hAnsi="宋体" w:eastAsia="仿宋_GB2312" w:cs="宋体"/>
                <w:sz w:val="24"/>
              </w:rPr>
            </w:pPr>
          </w:p>
        </w:tc>
        <w:tc>
          <w:tcPr>
            <w:tcW w:w="1372" w:type="dxa"/>
            <w:tcBorders>
              <w:top w:val="nil"/>
              <w:left w:val="nil"/>
              <w:bottom w:val="single" w:color="auto" w:sz="4" w:space="0"/>
              <w:right w:val="single" w:color="auto" w:sz="4" w:space="0"/>
            </w:tcBorders>
            <w:shd w:val="clear" w:color="auto" w:fill="auto"/>
            <w:noWrap/>
            <w:tcMar>
              <w:top w:w="0" w:type="dxa"/>
              <w:left w:w="0" w:type="dxa"/>
              <w:bottom w:w="0" w:type="dxa"/>
              <w:right w:w="0" w:type="dxa"/>
            </w:tcMar>
            <w:vAlign w:val="center"/>
          </w:tcPr>
          <w:p w14:paraId="27077FBA">
            <w:pPr>
              <w:adjustRightInd w:val="0"/>
              <w:spacing w:line="360" w:lineRule="exact"/>
              <w:jc w:val="center"/>
              <w:rPr>
                <w:rFonts w:ascii="仿宋_GB2312" w:hAnsi="宋体" w:eastAsia="仿宋_GB2312" w:cs="宋体"/>
                <w:sz w:val="24"/>
              </w:rPr>
            </w:pPr>
            <w:r>
              <w:rPr>
                <w:rFonts w:hint="eastAsia" w:ascii="仿宋_GB2312" w:eastAsia="仿宋_GB2312"/>
                <w:sz w:val="24"/>
              </w:rPr>
              <w:t>新变更病种</w:t>
            </w:r>
          </w:p>
        </w:tc>
        <w:tc>
          <w:tcPr>
            <w:tcW w:w="3111" w:type="dxa"/>
            <w:gridSpan w:val="2"/>
            <w:tcBorders>
              <w:top w:val="single" w:color="auto" w:sz="4" w:space="0"/>
              <w:left w:val="nil"/>
              <w:bottom w:val="single" w:color="auto" w:sz="4" w:space="0"/>
              <w:right w:val="single" w:color="000000" w:sz="4" w:space="0"/>
            </w:tcBorders>
            <w:shd w:val="clear" w:color="auto" w:fill="auto"/>
            <w:noWrap/>
            <w:tcMar>
              <w:top w:w="0" w:type="dxa"/>
              <w:left w:w="0" w:type="dxa"/>
              <w:bottom w:w="0" w:type="dxa"/>
              <w:right w:w="0" w:type="dxa"/>
            </w:tcMar>
            <w:vAlign w:val="center"/>
          </w:tcPr>
          <w:p w14:paraId="4EDE2F10">
            <w:pPr>
              <w:adjustRightInd w:val="0"/>
              <w:spacing w:line="360" w:lineRule="exact"/>
              <w:jc w:val="center"/>
              <w:rPr>
                <w:rFonts w:ascii="仿宋_GB2312" w:hAnsi="宋体" w:eastAsia="仿宋_GB2312" w:cs="宋体"/>
                <w:sz w:val="24"/>
              </w:rPr>
            </w:pPr>
          </w:p>
        </w:tc>
      </w:tr>
      <w:tr w14:paraId="28A06183">
        <w:tblPrEx>
          <w:tblCellMar>
            <w:top w:w="0" w:type="dxa"/>
            <w:left w:w="0" w:type="dxa"/>
            <w:bottom w:w="0" w:type="dxa"/>
            <w:right w:w="0" w:type="dxa"/>
          </w:tblCellMar>
        </w:tblPrEx>
        <w:trPr>
          <w:trHeight w:val="454" w:hRule="atLeast"/>
          <w:jc w:val="center"/>
        </w:trPr>
        <w:tc>
          <w:tcPr>
            <w:tcW w:w="1843" w:type="dxa"/>
            <w:tcBorders>
              <w:top w:val="nil"/>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14:paraId="6AA6F93C">
            <w:pPr>
              <w:adjustRightInd w:val="0"/>
              <w:spacing w:line="360" w:lineRule="exact"/>
              <w:jc w:val="center"/>
              <w:rPr>
                <w:rFonts w:ascii="仿宋_GB2312" w:eastAsia="仿宋_GB2312"/>
                <w:sz w:val="24"/>
              </w:rPr>
            </w:pPr>
            <w:r>
              <w:rPr>
                <w:rFonts w:hint="eastAsia" w:ascii="仿宋_GB2312" w:eastAsia="仿宋_GB2312"/>
                <w:sz w:val="24"/>
              </w:rPr>
              <w:t>病历摘要</w:t>
            </w:r>
          </w:p>
          <w:p w14:paraId="5538CD57">
            <w:pPr>
              <w:adjustRightInd w:val="0"/>
              <w:spacing w:line="360" w:lineRule="exact"/>
              <w:jc w:val="center"/>
              <w:rPr>
                <w:rFonts w:ascii="仿宋_GB2312" w:hAnsi="宋体" w:eastAsia="仿宋_GB2312" w:cs="宋体"/>
                <w:sz w:val="24"/>
              </w:rPr>
            </w:pPr>
            <w:r>
              <w:rPr>
                <w:rFonts w:hint="eastAsia" w:ascii="仿宋_GB2312" w:eastAsia="仿宋_GB2312"/>
                <w:sz w:val="24"/>
              </w:rPr>
              <w:t>及临床指征</w:t>
            </w:r>
          </w:p>
        </w:tc>
        <w:tc>
          <w:tcPr>
            <w:tcW w:w="6877" w:type="dxa"/>
            <w:gridSpan w:val="5"/>
            <w:tcBorders>
              <w:top w:val="single" w:color="auto" w:sz="4" w:space="0"/>
              <w:left w:val="nil"/>
              <w:bottom w:val="single" w:color="auto" w:sz="4" w:space="0"/>
              <w:right w:val="single" w:color="000000" w:sz="4" w:space="0"/>
            </w:tcBorders>
            <w:shd w:val="clear" w:color="auto" w:fill="auto"/>
            <w:tcMar>
              <w:top w:w="0" w:type="dxa"/>
              <w:left w:w="0" w:type="dxa"/>
              <w:bottom w:w="0" w:type="dxa"/>
              <w:right w:w="0" w:type="dxa"/>
            </w:tcMar>
            <w:vAlign w:val="center"/>
          </w:tcPr>
          <w:p w14:paraId="4DB33738">
            <w:pPr>
              <w:tabs>
                <w:tab w:val="left" w:pos="4854"/>
                <w:tab w:val="left" w:pos="5266"/>
              </w:tabs>
              <w:adjustRightInd w:val="0"/>
              <w:spacing w:after="161" w:afterLines="50" w:line="360" w:lineRule="exact"/>
              <w:jc w:val="center"/>
              <w:rPr>
                <w:rFonts w:ascii="仿宋_GB2312" w:eastAsia="仿宋_GB2312"/>
                <w:sz w:val="24"/>
              </w:rPr>
            </w:pPr>
            <w:r>
              <w:rPr>
                <w:rFonts w:hint="eastAsia" w:ascii="仿宋_GB2312" w:eastAsia="仿宋_GB2312"/>
                <w:sz w:val="24"/>
              </w:rPr>
              <w:br w:type="textWrapping"/>
            </w:r>
            <w:r>
              <w:rPr>
                <w:rFonts w:hint="eastAsia" w:ascii="仿宋_GB2312" w:eastAsia="仿宋_GB2312"/>
                <w:sz w:val="24"/>
              </w:rPr>
              <w:br w:type="textWrapping"/>
            </w:r>
          </w:p>
          <w:p w14:paraId="7A31D2DF">
            <w:pPr>
              <w:tabs>
                <w:tab w:val="left" w:pos="4854"/>
                <w:tab w:val="left" w:pos="5266"/>
              </w:tabs>
              <w:adjustRightInd w:val="0"/>
              <w:spacing w:after="161" w:afterLines="50" w:line="300" w:lineRule="exact"/>
              <w:jc w:val="center"/>
              <w:rPr>
                <w:rFonts w:ascii="仿宋_GB2312" w:eastAsia="仿宋_GB2312"/>
                <w:sz w:val="24"/>
              </w:rPr>
            </w:pPr>
            <w:r>
              <w:rPr>
                <w:rFonts w:hint="eastAsia" w:ascii="仿宋_GB2312" w:eastAsia="仿宋_GB2312"/>
                <w:sz w:val="24"/>
              </w:rPr>
              <w:br w:type="textWrapping"/>
            </w:r>
            <w:r>
              <w:rPr>
                <w:rFonts w:hint="eastAsia" w:ascii="仿宋_GB2312" w:eastAsia="仿宋_GB2312"/>
                <w:sz w:val="24"/>
              </w:rPr>
              <w:t xml:space="preserve">                   主管医师签字：</w:t>
            </w:r>
          </w:p>
          <w:p w14:paraId="59AF45B6">
            <w:pPr>
              <w:adjustRightInd w:val="0"/>
              <w:spacing w:line="300" w:lineRule="exact"/>
              <w:ind w:left="3120" w:hanging="3120" w:hangingChars="1300"/>
              <w:jc w:val="center"/>
              <w:rPr>
                <w:rFonts w:ascii="仿宋_GB2312" w:hAnsi="宋体" w:eastAsia="仿宋_GB2312" w:cs="宋体"/>
                <w:sz w:val="24"/>
              </w:rPr>
            </w:pPr>
            <w:r>
              <w:rPr>
                <w:rFonts w:hint="eastAsia" w:ascii="仿宋_GB2312" w:eastAsia="仿宋_GB2312"/>
                <w:sz w:val="24"/>
              </w:rPr>
              <w:t xml:space="preserve">                                           年  </w:t>
            </w:r>
            <w:r>
              <w:rPr>
                <w:rFonts w:ascii="仿宋_GB2312" w:eastAsia="仿宋_GB2312"/>
                <w:sz w:val="24"/>
              </w:rPr>
              <w:t xml:space="preserve"> </w:t>
            </w:r>
            <w:r>
              <w:rPr>
                <w:rFonts w:hint="eastAsia" w:ascii="仿宋_GB2312" w:eastAsia="仿宋_GB2312"/>
                <w:sz w:val="24"/>
              </w:rPr>
              <w:t xml:space="preserve">月 </w:t>
            </w:r>
            <w:r>
              <w:rPr>
                <w:rFonts w:ascii="仿宋_GB2312" w:eastAsia="仿宋_GB2312"/>
                <w:sz w:val="24"/>
              </w:rPr>
              <w:t xml:space="preserve"> </w:t>
            </w:r>
            <w:r>
              <w:rPr>
                <w:rFonts w:hint="eastAsia" w:ascii="仿宋_GB2312" w:eastAsia="仿宋_GB2312"/>
                <w:sz w:val="24"/>
              </w:rPr>
              <w:t xml:space="preserve"> 日</w:t>
            </w:r>
          </w:p>
        </w:tc>
      </w:tr>
      <w:tr w14:paraId="0B734387">
        <w:tblPrEx>
          <w:tblCellMar>
            <w:top w:w="0" w:type="dxa"/>
            <w:left w:w="0" w:type="dxa"/>
            <w:bottom w:w="0" w:type="dxa"/>
            <w:right w:w="0" w:type="dxa"/>
          </w:tblCellMar>
        </w:tblPrEx>
        <w:trPr>
          <w:trHeight w:val="454" w:hRule="atLeast"/>
          <w:jc w:val="center"/>
        </w:trPr>
        <w:tc>
          <w:tcPr>
            <w:tcW w:w="1843" w:type="dxa"/>
            <w:tcBorders>
              <w:top w:val="nil"/>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14:paraId="19573FFB">
            <w:pPr>
              <w:adjustRightInd w:val="0"/>
              <w:spacing w:line="360" w:lineRule="exact"/>
              <w:jc w:val="center"/>
              <w:rPr>
                <w:rFonts w:ascii="仿宋_GB2312" w:eastAsia="仿宋_GB2312"/>
                <w:sz w:val="24"/>
              </w:rPr>
            </w:pPr>
            <w:r>
              <w:rPr>
                <w:rFonts w:hint="eastAsia" w:ascii="仿宋_GB2312" w:eastAsia="仿宋_GB2312"/>
                <w:sz w:val="24"/>
              </w:rPr>
              <w:t>专家审核</w:t>
            </w:r>
          </w:p>
          <w:p w14:paraId="7DDCBDEC">
            <w:pPr>
              <w:adjustRightInd w:val="0"/>
              <w:spacing w:line="360" w:lineRule="exact"/>
              <w:jc w:val="center"/>
              <w:rPr>
                <w:rFonts w:ascii="仿宋_GB2312" w:hAnsi="宋体" w:eastAsia="仿宋_GB2312" w:cs="宋体"/>
                <w:sz w:val="24"/>
              </w:rPr>
            </w:pPr>
            <w:r>
              <w:rPr>
                <w:rFonts w:hint="eastAsia" w:ascii="仿宋_GB2312" w:eastAsia="仿宋_GB2312"/>
                <w:sz w:val="24"/>
              </w:rPr>
              <w:t>意见</w:t>
            </w:r>
          </w:p>
        </w:tc>
        <w:tc>
          <w:tcPr>
            <w:tcW w:w="6877" w:type="dxa"/>
            <w:gridSpan w:val="5"/>
            <w:tcBorders>
              <w:top w:val="single" w:color="auto" w:sz="4" w:space="0"/>
              <w:left w:val="nil"/>
              <w:bottom w:val="single" w:color="auto" w:sz="4" w:space="0"/>
              <w:right w:val="single" w:color="000000" w:sz="4" w:space="0"/>
            </w:tcBorders>
            <w:shd w:val="clear" w:color="auto" w:fill="auto"/>
            <w:tcMar>
              <w:top w:w="0" w:type="dxa"/>
              <w:left w:w="0" w:type="dxa"/>
              <w:bottom w:w="0" w:type="dxa"/>
              <w:right w:w="0" w:type="dxa"/>
            </w:tcMar>
            <w:vAlign w:val="center"/>
          </w:tcPr>
          <w:p w14:paraId="20453387">
            <w:pPr>
              <w:tabs>
                <w:tab w:val="left" w:pos="4854"/>
                <w:tab w:val="left" w:pos="5266"/>
              </w:tabs>
              <w:adjustRightInd w:val="0"/>
              <w:spacing w:after="161" w:afterLines="50" w:line="300" w:lineRule="exact"/>
              <w:jc w:val="center"/>
              <w:rPr>
                <w:rFonts w:ascii="仿宋_GB2312" w:eastAsia="仿宋_GB2312"/>
                <w:sz w:val="24"/>
              </w:rPr>
            </w:pPr>
            <w:r>
              <w:rPr>
                <w:rFonts w:hint="eastAsia" w:ascii="仿宋_GB2312" w:eastAsia="仿宋_GB2312"/>
                <w:sz w:val="24"/>
              </w:rPr>
              <w:br w:type="textWrapping"/>
            </w:r>
            <w:r>
              <w:rPr>
                <w:rFonts w:hint="eastAsia" w:ascii="仿宋_GB2312" w:eastAsia="仿宋_GB2312"/>
                <w:sz w:val="24"/>
              </w:rPr>
              <w:br w:type="textWrapping"/>
            </w:r>
            <w:r>
              <w:rPr>
                <w:rFonts w:hint="eastAsia" w:ascii="仿宋_GB2312" w:eastAsia="仿宋_GB2312"/>
                <w:sz w:val="24"/>
              </w:rPr>
              <w:t xml:space="preserve">                                          </w:t>
            </w:r>
            <w:r>
              <w:rPr>
                <w:rFonts w:hint="eastAsia" w:ascii="仿宋_GB2312" w:eastAsia="仿宋_GB2312"/>
                <w:sz w:val="24"/>
              </w:rPr>
              <w:br w:type="textWrapping"/>
            </w:r>
            <w:r>
              <w:rPr>
                <w:rFonts w:hint="eastAsia" w:ascii="仿宋_GB2312" w:eastAsia="仿宋_GB2312"/>
                <w:sz w:val="24"/>
              </w:rPr>
              <w:br w:type="textWrapping"/>
            </w:r>
            <w:r>
              <w:rPr>
                <w:rFonts w:hint="eastAsia" w:ascii="仿宋_GB2312" w:eastAsia="仿宋_GB2312"/>
                <w:sz w:val="24"/>
              </w:rPr>
              <w:t xml:space="preserve">                       专家签字：</w:t>
            </w:r>
          </w:p>
          <w:p w14:paraId="6C6EFB0B">
            <w:pPr>
              <w:tabs>
                <w:tab w:val="left" w:pos="4854"/>
                <w:tab w:val="left" w:pos="5266"/>
              </w:tabs>
              <w:adjustRightInd w:val="0"/>
              <w:spacing w:after="161" w:afterLines="50" w:line="300" w:lineRule="exact"/>
              <w:jc w:val="center"/>
              <w:rPr>
                <w:rFonts w:ascii="仿宋_GB2312" w:hAnsi="宋体" w:eastAsia="仿宋_GB2312" w:cs="宋体"/>
                <w:sz w:val="24"/>
              </w:rPr>
            </w:pPr>
            <w:r>
              <w:rPr>
                <w:rFonts w:hint="eastAsia" w:ascii="仿宋_GB2312" w:eastAsia="仿宋_GB2312"/>
                <w:sz w:val="24"/>
              </w:rPr>
              <w:t xml:space="preserve">                                           年  </w:t>
            </w:r>
            <w:r>
              <w:rPr>
                <w:rFonts w:ascii="仿宋_GB2312" w:eastAsia="仿宋_GB2312"/>
                <w:sz w:val="24"/>
              </w:rPr>
              <w:t xml:space="preserve"> </w:t>
            </w:r>
            <w:r>
              <w:rPr>
                <w:rFonts w:hint="eastAsia" w:ascii="仿宋_GB2312" w:eastAsia="仿宋_GB2312"/>
                <w:sz w:val="24"/>
              </w:rPr>
              <w:t xml:space="preserve">月  </w:t>
            </w:r>
            <w:r>
              <w:rPr>
                <w:rFonts w:ascii="仿宋_GB2312" w:eastAsia="仿宋_GB2312"/>
                <w:sz w:val="24"/>
              </w:rPr>
              <w:t xml:space="preserve"> </w:t>
            </w:r>
            <w:r>
              <w:rPr>
                <w:rFonts w:hint="eastAsia" w:ascii="仿宋_GB2312" w:eastAsia="仿宋_GB2312"/>
                <w:sz w:val="24"/>
              </w:rPr>
              <w:t>日</w:t>
            </w:r>
          </w:p>
        </w:tc>
      </w:tr>
      <w:tr w14:paraId="2E57786A">
        <w:tblPrEx>
          <w:tblCellMar>
            <w:top w:w="0" w:type="dxa"/>
            <w:left w:w="0" w:type="dxa"/>
            <w:bottom w:w="0" w:type="dxa"/>
            <w:right w:w="0" w:type="dxa"/>
          </w:tblCellMar>
        </w:tblPrEx>
        <w:trPr>
          <w:trHeight w:val="2166" w:hRule="atLeast"/>
          <w:jc w:val="center"/>
        </w:trPr>
        <w:tc>
          <w:tcPr>
            <w:tcW w:w="1843" w:type="dxa"/>
            <w:tcBorders>
              <w:top w:val="nil"/>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14:paraId="6A52536B">
            <w:pPr>
              <w:adjustRightInd w:val="0"/>
              <w:spacing w:line="360" w:lineRule="exact"/>
              <w:jc w:val="center"/>
              <w:rPr>
                <w:rFonts w:ascii="仿宋_GB2312" w:eastAsia="仿宋_GB2312"/>
                <w:sz w:val="24"/>
              </w:rPr>
            </w:pPr>
            <w:r>
              <w:rPr>
                <w:rFonts w:hint="eastAsia" w:ascii="仿宋_GB2312" w:eastAsia="仿宋_GB2312"/>
                <w:sz w:val="24"/>
              </w:rPr>
              <w:t>专家组组长</w:t>
            </w:r>
          </w:p>
          <w:p w14:paraId="0CD93BCC">
            <w:pPr>
              <w:adjustRightInd w:val="0"/>
              <w:spacing w:line="360" w:lineRule="exact"/>
              <w:jc w:val="center"/>
              <w:rPr>
                <w:rFonts w:ascii="仿宋_GB2312" w:hAnsi="宋体" w:eastAsia="仿宋_GB2312" w:cs="宋体"/>
                <w:sz w:val="24"/>
              </w:rPr>
            </w:pPr>
            <w:r>
              <w:rPr>
                <w:rFonts w:hint="eastAsia" w:ascii="仿宋_GB2312" w:eastAsia="仿宋_GB2312"/>
                <w:sz w:val="24"/>
              </w:rPr>
              <w:t>复审意见</w:t>
            </w:r>
          </w:p>
        </w:tc>
        <w:tc>
          <w:tcPr>
            <w:tcW w:w="6877" w:type="dxa"/>
            <w:gridSpan w:val="5"/>
            <w:tcBorders>
              <w:top w:val="single" w:color="auto" w:sz="4" w:space="0"/>
              <w:left w:val="nil"/>
              <w:bottom w:val="single" w:color="auto" w:sz="4" w:space="0"/>
              <w:right w:val="single" w:color="000000" w:sz="4" w:space="0"/>
            </w:tcBorders>
            <w:shd w:val="clear" w:color="auto" w:fill="auto"/>
            <w:tcMar>
              <w:top w:w="0" w:type="dxa"/>
              <w:left w:w="0" w:type="dxa"/>
              <w:bottom w:w="0" w:type="dxa"/>
              <w:right w:w="0" w:type="dxa"/>
            </w:tcMar>
            <w:vAlign w:val="center"/>
          </w:tcPr>
          <w:p w14:paraId="1F59496D">
            <w:pPr>
              <w:adjustRightInd w:val="0"/>
              <w:spacing w:after="161" w:afterLines="50" w:line="360" w:lineRule="exact"/>
              <w:jc w:val="center"/>
              <w:rPr>
                <w:rFonts w:ascii="仿宋_GB2312" w:eastAsia="仿宋_GB2312"/>
                <w:sz w:val="24"/>
              </w:rPr>
            </w:pPr>
            <w:r>
              <w:rPr>
                <w:rFonts w:hint="eastAsia" w:ascii="仿宋_GB2312" w:eastAsia="仿宋_GB2312"/>
                <w:sz w:val="24"/>
              </w:rPr>
              <w:br w:type="textWrapping"/>
            </w:r>
            <w:r>
              <w:rPr>
                <w:rFonts w:hint="eastAsia" w:ascii="仿宋_GB2312" w:eastAsia="仿宋_GB2312"/>
                <w:sz w:val="24"/>
              </w:rPr>
              <w:br w:type="textWrapping"/>
            </w:r>
            <w:r>
              <w:rPr>
                <w:rFonts w:hint="eastAsia" w:ascii="仿宋_GB2312" w:eastAsia="仿宋_GB2312"/>
                <w:sz w:val="24"/>
              </w:rPr>
              <w:br w:type="textWrapping"/>
            </w:r>
            <w:r>
              <w:rPr>
                <w:rFonts w:hint="eastAsia" w:ascii="仿宋_GB2312" w:eastAsia="仿宋_GB2312"/>
                <w:sz w:val="24"/>
              </w:rPr>
              <w:t xml:space="preserve">                       专家签字：</w:t>
            </w:r>
          </w:p>
          <w:p w14:paraId="6E08D6E2">
            <w:pPr>
              <w:tabs>
                <w:tab w:val="left" w:pos="4854"/>
                <w:tab w:val="left" w:pos="5266"/>
              </w:tabs>
              <w:adjustRightInd w:val="0"/>
              <w:spacing w:after="161" w:afterLines="50" w:line="300" w:lineRule="exact"/>
              <w:jc w:val="center"/>
              <w:rPr>
                <w:rFonts w:ascii="仿宋_GB2312" w:hAnsi="宋体" w:eastAsia="仿宋_GB2312" w:cs="宋体"/>
                <w:sz w:val="24"/>
              </w:rPr>
            </w:pPr>
            <w:r>
              <w:rPr>
                <w:rFonts w:hint="eastAsia" w:ascii="仿宋_GB2312" w:eastAsia="仿宋_GB2312"/>
                <w:sz w:val="24"/>
              </w:rPr>
              <w:t xml:space="preserve">                                           年 </w:t>
            </w:r>
            <w:r>
              <w:rPr>
                <w:rFonts w:ascii="仿宋_GB2312" w:eastAsia="仿宋_GB2312"/>
                <w:sz w:val="24"/>
              </w:rPr>
              <w:t xml:space="preserve"> </w:t>
            </w:r>
            <w:r>
              <w:rPr>
                <w:rFonts w:hint="eastAsia" w:ascii="仿宋_GB2312" w:eastAsia="仿宋_GB2312"/>
                <w:sz w:val="24"/>
              </w:rPr>
              <w:t xml:space="preserve"> 月  </w:t>
            </w:r>
            <w:r>
              <w:rPr>
                <w:rFonts w:ascii="仿宋_GB2312" w:eastAsia="仿宋_GB2312"/>
                <w:sz w:val="24"/>
              </w:rPr>
              <w:t xml:space="preserve"> </w:t>
            </w:r>
            <w:r>
              <w:rPr>
                <w:rFonts w:hint="eastAsia" w:ascii="仿宋_GB2312" w:eastAsia="仿宋_GB2312"/>
                <w:sz w:val="24"/>
              </w:rPr>
              <w:t>日</w:t>
            </w:r>
          </w:p>
        </w:tc>
      </w:tr>
      <w:tr w14:paraId="3BC87694">
        <w:tblPrEx>
          <w:tblCellMar>
            <w:top w:w="0" w:type="dxa"/>
            <w:left w:w="0" w:type="dxa"/>
            <w:bottom w:w="0" w:type="dxa"/>
            <w:right w:w="0" w:type="dxa"/>
          </w:tblCellMar>
        </w:tblPrEx>
        <w:trPr>
          <w:trHeight w:val="454" w:hRule="atLeast"/>
          <w:jc w:val="center"/>
        </w:trPr>
        <w:tc>
          <w:tcPr>
            <w:tcW w:w="1843" w:type="dxa"/>
            <w:tcBorders>
              <w:top w:val="nil"/>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14:paraId="2EAC5C1F">
            <w:pPr>
              <w:adjustRightInd w:val="0"/>
              <w:spacing w:line="360" w:lineRule="exact"/>
              <w:jc w:val="center"/>
              <w:rPr>
                <w:rFonts w:ascii="仿宋_GB2312" w:eastAsia="仿宋_GB2312"/>
                <w:sz w:val="24"/>
              </w:rPr>
            </w:pPr>
            <w:r>
              <w:rPr>
                <w:rFonts w:hint="eastAsia" w:ascii="仿宋_GB2312" w:eastAsia="仿宋_GB2312"/>
                <w:sz w:val="24"/>
              </w:rPr>
              <w:t>审核认定</w:t>
            </w:r>
          </w:p>
          <w:p w14:paraId="097D5895">
            <w:pPr>
              <w:adjustRightInd w:val="0"/>
              <w:spacing w:line="360" w:lineRule="exact"/>
              <w:jc w:val="center"/>
              <w:rPr>
                <w:rFonts w:ascii="仿宋_GB2312" w:hAnsi="宋体" w:eastAsia="仿宋_GB2312" w:cs="宋体"/>
                <w:sz w:val="24"/>
              </w:rPr>
            </w:pPr>
            <w:r>
              <w:rPr>
                <w:rFonts w:hint="eastAsia" w:ascii="仿宋_GB2312" w:eastAsia="仿宋_GB2312"/>
                <w:sz w:val="24"/>
              </w:rPr>
              <w:t>结果</w:t>
            </w:r>
          </w:p>
        </w:tc>
        <w:tc>
          <w:tcPr>
            <w:tcW w:w="6877" w:type="dxa"/>
            <w:gridSpan w:val="5"/>
            <w:tcBorders>
              <w:top w:val="single" w:color="auto" w:sz="4" w:space="0"/>
              <w:left w:val="nil"/>
              <w:bottom w:val="single" w:color="auto" w:sz="4" w:space="0"/>
              <w:right w:val="single" w:color="000000" w:sz="4" w:space="0"/>
            </w:tcBorders>
            <w:shd w:val="clear" w:color="auto" w:fill="auto"/>
            <w:tcMar>
              <w:top w:w="0" w:type="dxa"/>
              <w:left w:w="0" w:type="dxa"/>
              <w:bottom w:w="0" w:type="dxa"/>
              <w:right w:w="0" w:type="dxa"/>
            </w:tcMar>
            <w:vAlign w:val="center"/>
          </w:tcPr>
          <w:p w14:paraId="1EB971E0">
            <w:pPr>
              <w:tabs>
                <w:tab w:val="left" w:pos="4854"/>
                <w:tab w:val="left" w:pos="5266"/>
              </w:tabs>
              <w:adjustRightInd w:val="0"/>
              <w:spacing w:line="340" w:lineRule="exact"/>
              <w:jc w:val="center"/>
              <w:rPr>
                <w:rFonts w:ascii="仿宋_GB2312" w:eastAsia="仿宋_GB2312"/>
                <w:sz w:val="24"/>
              </w:rPr>
            </w:pPr>
            <w:r>
              <w:rPr>
                <w:rFonts w:hint="eastAsia" w:ascii="仿宋_GB2312" w:eastAsia="仿宋_GB2312"/>
                <w:sz w:val="24"/>
              </w:rPr>
              <w:br w:type="textWrapping"/>
            </w:r>
            <w:r>
              <w:rPr>
                <w:rFonts w:hint="eastAsia" w:ascii="仿宋_GB2312" w:eastAsia="仿宋_GB2312"/>
                <w:sz w:val="24"/>
              </w:rPr>
              <w:br w:type="textWrapping"/>
            </w:r>
          </w:p>
          <w:p w14:paraId="09551A36">
            <w:pPr>
              <w:tabs>
                <w:tab w:val="left" w:pos="4854"/>
                <w:tab w:val="left" w:pos="5266"/>
              </w:tabs>
              <w:adjustRightInd w:val="0"/>
              <w:spacing w:line="340" w:lineRule="exact"/>
              <w:jc w:val="center"/>
              <w:rPr>
                <w:rFonts w:ascii="仿宋_GB2312" w:eastAsia="仿宋_GB2312"/>
                <w:sz w:val="24"/>
              </w:rPr>
            </w:pPr>
          </w:p>
          <w:p w14:paraId="2DDCBA73">
            <w:pPr>
              <w:tabs>
                <w:tab w:val="left" w:pos="4854"/>
                <w:tab w:val="left" w:pos="5266"/>
              </w:tabs>
              <w:adjustRightInd w:val="0"/>
              <w:spacing w:after="161" w:afterLines="50" w:line="300" w:lineRule="exact"/>
              <w:jc w:val="center"/>
              <w:rPr>
                <w:rFonts w:ascii="仿宋_GB2312" w:eastAsia="仿宋_GB2312"/>
                <w:sz w:val="24"/>
              </w:rPr>
            </w:pPr>
            <w:r>
              <w:rPr>
                <w:rFonts w:hint="eastAsia" w:ascii="仿宋_GB2312" w:eastAsia="仿宋_GB2312"/>
                <w:sz w:val="24"/>
              </w:rPr>
              <w:t xml:space="preserve">        审核认定医院医保办盖章</w:t>
            </w:r>
            <w:r>
              <w:rPr>
                <w:rFonts w:hint="eastAsia" w:ascii="仿宋_GB2312" w:eastAsia="仿宋_GB2312"/>
                <w:sz w:val="24"/>
              </w:rPr>
              <w:br w:type="textWrapping"/>
            </w:r>
            <w:r>
              <w:rPr>
                <w:rFonts w:hint="eastAsia" w:ascii="仿宋_GB2312" w:eastAsia="仿宋_GB2312"/>
                <w:sz w:val="24"/>
              </w:rPr>
              <w:t xml:space="preserve">                                     </w:t>
            </w:r>
            <w:r>
              <w:rPr>
                <w:rFonts w:ascii="仿宋_GB2312" w:eastAsia="仿宋_GB2312"/>
                <w:sz w:val="24"/>
              </w:rPr>
              <w:t xml:space="preserve">      </w:t>
            </w:r>
            <w:r>
              <w:rPr>
                <w:rFonts w:hint="eastAsia" w:ascii="仿宋_GB2312" w:eastAsia="仿宋_GB2312"/>
                <w:sz w:val="24"/>
              </w:rPr>
              <w:t xml:space="preserve">年  </w:t>
            </w:r>
            <w:r>
              <w:rPr>
                <w:rFonts w:ascii="仿宋_GB2312" w:eastAsia="仿宋_GB2312"/>
                <w:sz w:val="24"/>
              </w:rPr>
              <w:t xml:space="preserve"> </w:t>
            </w:r>
            <w:r>
              <w:rPr>
                <w:rFonts w:hint="eastAsia" w:ascii="仿宋_GB2312" w:eastAsia="仿宋_GB2312"/>
                <w:sz w:val="24"/>
              </w:rPr>
              <w:t xml:space="preserve">月  </w:t>
            </w:r>
            <w:r>
              <w:rPr>
                <w:rFonts w:ascii="仿宋_GB2312" w:eastAsia="仿宋_GB2312"/>
                <w:sz w:val="24"/>
              </w:rPr>
              <w:t xml:space="preserve"> </w:t>
            </w:r>
            <w:r>
              <w:rPr>
                <w:rFonts w:hint="eastAsia" w:ascii="仿宋_GB2312" w:eastAsia="仿宋_GB2312"/>
                <w:sz w:val="24"/>
              </w:rPr>
              <w:t>日</w:t>
            </w:r>
          </w:p>
        </w:tc>
      </w:tr>
    </w:tbl>
    <w:p w14:paraId="65757A13">
      <w:pPr>
        <w:rPr>
          <w:b/>
        </w:rPr>
        <w:sectPr>
          <w:pgSz w:w="11906" w:h="16838"/>
          <w:pgMar w:top="1814" w:right="1587" w:bottom="1587" w:left="1587" w:header="851" w:footer="992" w:gutter="0"/>
          <w:pgBorders>
            <w:top w:val="none" w:sz="0" w:space="0"/>
            <w:left w:val="none" w:sz="0" w:space="0"/>
            <w:bottom w:val="none" w:sz="0" w:space="0"/>
            <w:right w:val="none" w:sz="0" w:space="0"/>
          </w:pgBorders>
          <w:cols w:space="0" w:num="1"/>
          <w:docGrid w:type="lines" w:linePitch="323" w:charSpace="0"/>
        </w:sectPr>
      </w:pPr>
    </w:p>
    <w:p w14:paraId="365B041F">
      <w:pPr>
        <w:overflowPunct w:val="0"/>
        <w:autoSpaceDE w:val="0"/>
        <w:autoSpaceDN w:val="0"/>
        <w:adjustRightInd w:val="0"/>
        <w:snapToGrid w:val="0"/>
        <w:spacing w:after="161" w:afterLines="50" w:line="400" w:lineRule="exact"/>
        <w:rPr>
          <w:rFonts w:ascii="黑体" w:hAnsi="Times New Roman" w:eastAsia="黑体" w:cs="Times New Roman"/>
          <w:sz w:val="32"/>
          <w:szCs w:val="32"/>
        </w:rPr>
      </w:pPr>
      <w:r>
        <w:rPr>
          <w:rFonts w:hint="eastAsia" w:ascii="黑体" w:hAnsi="Times New Roman" w:eastAsia="黑体" w:cs="Times New Roman"/>
          <w:sz w:val="32"/>
          <w:szCs w:val="32"/>
        </w:rPr>
        <w:t>附件6</w:t>
      </w:r>
    </w:p>
    <w:p w14:paraId="0B2DB761">
      <w:pPr>
        <w:jc w:val="center"/>
        <w:rPr>
          <w:rFonts w:ascii="方正小标宋简体" w:hAnsi="黑体" w:eastAsia="方正小标宋简体"/>
          <w:sz w:val="36"/>
          <w:szCs w:val="36"/>
        </w:rPr>
      </w:pPr>
      <w:r>
        <w:rPr>
          <w:rFonts w:hint="eastAsia" w:ascii="方正小标宋简体" w:hAnsi="黑体" w:eastAsia="方正小标宋简体"/>
          <w:sz w:val="36"/>
          <w:szCs w:val="36"/>
        </w:rPr>
        <w:t>张掖市基本医疗保险门诊慢特病待遇申请鉴定汇总表</w:t>
      </w:r>
    </w:p>
    <w:tbl>
      <w:tblPr>
        <w:tblStyle w:val="13"/>
        <w:tblpPr w:leftFromText="180" w:rightFromText="180" w:vertAnchor="page" w:horzAnchor="margin" w:tblpY="3631"/>
        <w:tblW w:w="1385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35"/>
        <w:gridCol w:w="991"/>
        <w:gridCol w:w="567"/>
        <w:gridCol w:w="1417"/>
        <w:gridCol w:w="1418"/>
        <w:gridCol w:w="1843"/>
        <w:gridCol w:w="1275"/>
        <w:gridCol w:w="1276"/>
        <w:gridCol w:w="718"/>
        <w:gridCol w:w="1210"/>
        <w:gridCol w:w="1192"/>
        <w:gridCol w:w="1416"/>
      </w:tblGrid>
      <w:tr w14:paraId="20959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535" w:type="dxa"/>
            <w:tcBorders>
              <w:top w:val="single" w:color="auto" w:sz="4" w:space="0"/>
              <w:left w:val="single" w:color="auto" w:sz="4" w:space="0"/>
              <w:bottom w:val="single" w:color="auto" w:sz="4" w:space="0"/>
              <w:right w:val="single" w:color="auto" w:sz="4" w:space="0"/>
            </w:tcBorders>
            <w:noWrap/>
            <w:vAlign w:val="center"/>
          </w:tcPr>
          <w:p w14:paraId="64A1BD12">
            <w:pPr>
              <w:widowControl/>
              <w:jc w:val="center"/>
              <w:rPr>
                <w:rFonts w:ascii="仿宋_GB2312" w:eastAsia="仿宋_GB2312" w:cs="宋体" w:hAnsiTheme="minorEastAsia"/>
                <w:color w:val="000000"/>
                <w:kern w:val="0"/>
                <w:sz w:val="24"/>
              </w:rPr>
            </w:pPr>
            <w:r>
              <w:rPr>
                <w:rFonts w:hint="eastAsia" w:ascii="仿宋_GB2312" w:eastAsia="仿宋_GB2312" w:cs="宋体" w:hAnsiTheme="minorEastAsia"/>
                <w:color w:val="000000"/>
                <w:kern w:val="0"/>
                <w:sz w:val="24"/>
              </w:rPr>
              <w:t>序号</w:t>
            </w:r>
          </w:p>
        </w:tc>
        <w:tc>
          <w:tcPr>
            <w:tcW w:w="991" w:type="dxa"/>
            <w:tcBorders>
              <w:top w:val="single" w:color="auto" w:sz="4" w:space="0"/>
              <w:left w:val="single" w:color="auto" w:sz="4" w:space="0"/>
              <w:bottom w:val="single" w:color="auto" w:sz="4" w:space="0"/>
              <w:right w:val="single" w:color="auto" w:sz="4" w:space="0"/>
            </w:tcBorders>
            <w:noWrap/>
            <w:vAlign w:val="center"/>
          </w:tcPr>
          <w:p w14:paraId="51DD35B5">
            <w:pPr>
              <w:widowControl/>
              <w:jc w:val="center"/>
              <w:rPr>
                <w:rFonts w:ascii="仿宋_GB2312" w:eastAsia="仿宋_GB2312" w:cs="宋体" w:hAnsiTheme="minorEastAsia"/>
                <w:color w:val="000000"/>
                <w:kern w:val="0"/>
                <w:sz w:val="24"/>
              </w:rPr>
            </w:pPr>
            <w:r>
              <w:rPr>
                <w:rFonts w:hint="eastAsia" w:ascii="仿宋_GB2312" w:eastAsia="仿宋_GB2312" w:cs="宋体" w:hAnsiTheme="minorEastAsia"/>
                <w:color w:val="000000"/>
                <w:kern w:val="0"/>
                <w:sz w:val="24"/>
              </w:rPr>
              <w:t>姓名</w:t>
            </w:r>
          </w:p>
        </w:tc>
        <w:tc>
          <w:tcPr>
            <w:tcW w:w="567" w:type="dxa"/>
            <w:tcBorders>
              <w:top w:val="single" w:color="auto" w:sz="4" w:space="0"/>
              <w:left w:val="single" w:color="auto" w:sz="4" w:space="0"/>
              <w:bottom w:val="single" w:color="auto" w:sz="4" w:space="0"/>
              <w:right w:val="single" w:color="auto" w:sz="4" w:space="0"/>
            </w:tcBorders>
            <w:noWrap/>
            <w:vAlign w:val="center"/>
          </w:tcPr>
          <w:p w14:paraId="17524A79">
            <w:pPr>
              <w:widowControl/>
              <w:jc w:val="center"/>
              <w:rPr>
                <w:rFonts w:ascii="仿宋_GB2312" w:eastAsia="仿宋_GB2312" w:cs="宋体" w:hAnsiTheme="minorEastAsia"/>
                <w:color w:val="000000"/>
                <w:kern w:val="0"/>
                <w:sz w:val="24"/>
              </w:rPr>
            </w:pPr>
            <w:r>
              <w:rPr>
                <w:rFonts w:hint="eastAsia" w:ascii="仿宋_GB2312" w:eastAsia="仿宋_GB2312" w:cs="宋体" w:hAnsiTheme="minorEastAsia"/>
                <w:color w:val="000000"/>
                <w:kern w:val="0"/>
                <w:sz w:val="24"/>
              </w:rPr>
              <w:t>性别</w:t>
            </w:r>
          </w:p>
        </w:tc>
        <w:tc>
          <w:tcPr>
            <w:tcW w:w="1417" w:type="dxa"/>
            <w:tcBorders>
              <w:top w:val="single" w:color="auto" w:sz="4" w:space="0"/>
              <w:left w:val="single" w:color="auto" w:sz="4" w:space="0"/>
              <w:bottom w:val="single" w:color="auto" w:sz="4" w:space="0"/>
              <w:right w:val="single" w:color="auto" w:sz="4" w:space="0"/>
            </w:tcBorders>
            <w:noWrap/>
            <w:vAlign w:val="center"/>
          </w:tcPr>
          <w:p w14:paraId="7E60E857">
            <w:pPr>
              <w:widowControl/>
              <w:jc w:val="center"/>
              <w:rPr>
                <w:rFonts w:ascii="仿宋_GB2312" w:eastAsia="仿宋_GB2312" w:cs="宋体" w:hAnsiTheme="minorEastAsia"/>
                <w:color w:val="000000"/>
                <w:kern w:val="0"/>
                <w:sz w:val="24"/>
              </w:rPr>
            </w:pPr>
            <w:r>
              <w:rPr>
                <w:rFonts w:hint="eastAsia" w:ascii="仿宋_GB2312" w:eastAsia="仿宋_GB2312" w:cs="宋体" w:hAnsiTheme="minorEastAsia"/>
                <w:color w:val="000000"/>
                <w:kern w:val="0"/>
                <w:sz w:val="24"/>
              </w:rPr>
              <w:t>身份证号</w:t>
            </w:r>
          </w:p>
        </w:tc>
        <w:tc>
          <w:tcPr>
            <w:tcW w:w="1418" w:type="dxa"/>
            <w:tcBorders>
              <w:top w:val="single" w:color="auto" w:sz="4" w:space="0"/>
              <w:left w:val="single" w:color="auto" w:sz="4" w:space="0"/>
              <w:bottom w:val="single" w:color="auto" w:sz="4" w:space="0"/>
              <w:right w:val="single" w:color="auto" w:sz="4" w:space="0"/>
            </w:tcBorders>
            <w:vAlign w:val="center"/>
          </w:tcPr>
          <w:p w14:paraId="3A5F7E55">
            <w:pPr>
              <w:widowControl/>
              <w:jc w:val="center"/>
              <w:rPr>
                <w:rFonts w:ascii="仿宋_GB2312" w:eastAsia="仿宋_GB2312" w:cs="宋体" w:hAnsiTheme="minorEastAsia"/>
                <w:color w:val="000000"/>
                <w:kern w:val="0"/>
                <w:sz w:val="24"/>
              </w:rPr>
            </w:pPr>
            <w:r>
              <w:rPr>
                <w:rFonts w:hint="eastAsia" w:ascii="仿宋_GB2312" w:eastAsia="仿宋_GB2312" w:cs="宋体" w:hAnsiTheme="minorEastAsia"/>
                <w:color w:val="000000"/>
                <w:kern w:val="0"/>
                <w:sz w:val="24"/>
              </w:rPr>
              <w:t>人员类型（职工、居民）</w:t>
            </w:r>
          </w:p>
        </w:tc>
        <w:tc>
          <w:tcPr>
            <w:tcW w:w="1843" w:type="dxa"/>
            <w:tcBorders>
              <w:top w:val="single" w:color="auto" w:sz="4" w:space="0"/>
              <w:left w:val="single" w:color="auto" w:sz="4" w:space="0"/>
              <w:bottom w:val="single" w:color="auto" w:sz="4" w:space="0"/>
              <w:right w:val="single" w:color="auto" w:sz="4" w:space="0"/>
            </w:tcBorders>
            <w:vAlign w:val="center"/>
          </w:tcPr>
          <w:p w14:paraId="45F1FB5B">
            <w:pPr>
              <w:widowControl/>
              <w:jc w:val="center"/>
              <w:rPr>
                <w:rFonts w:ascii="仿宋_GB2312" w:eastAsia="仿宋_GB2312" w:cs="宋体" w:hAnsiTheme="minorEastAsia"/>
                <w:color w:val="000000"/>
                <w:kern w:val="0"/>
                <w:sz w:val="24"/>
              </w:rPr>
            </w:pPr>
            <w:r>
              <w:rPr>
                <w:rFonts w:hint="eastAsia" w:ascii="仿宋_GB2312" w:eastAsia="仿宋_GB2312" w:cs="宋体" w:hAnsiTheme="minorEastAsia"/>
                <w:color w:val="000000"/>
                <w:kern w:val="0"/>
                <w:sz w:val="24"/>
              </w:rPr>
              <w:t>职工：单位名称居民：家庭住址</w:t>
            </w:r>
          </w:p>
        </w:tc>
        <w:tc>
          <w:tcPr>
            <w:tcW w:w="1275" w:type="dxa"/>
            <w:tcBorders>
              <w:top w:val="single" w:color="auto" w:sz="4" w:space="0"/>
              <w:left w:val="single" w:color="auto" w:sz="4" w:space="0"/>
              <w:bottom w:val="single" w:color="auto" w:sz="4" w:space="0"/>
              <w:right w:val="single" w:color="auto" w:sz="4" w:space="0"/>
            </w:tcBorders>
            <w:vAlign w:val="center"/>
          </w:tcPr>
          <w:p w14:paraId="4CAF11C0">
            <w:pPr>
              <w:widowControl/>
              <w:jc w:val="center"/>
              <w:rPr>
                <w:rFonts w:ascii="仿宋_GB2312" w:eastAsia="仿宋_GB2312" w:cs="宋体" w:hAnsiTheme="minorEastAsia"/>
                <w:color w:val="000000"/>
                <w:kern w:val="0"/>
                <w:sz w:val="24"/>
              </w:rPr>
            </w:pPr>
            <w:r>
              <w:rPr>
                <w:rFonts w:hint="eastAsia" w:ascii="仿宋_GB2312" w:eastAsia="仿宋_GB2312" w:cs="宋体" w:hAnsiTheme="minorEastAsia"/>
                <w:color w:val="000000"/>
                <w:kern w:val="0"/>
                <w:sz w:val="24"/>
              </w:rPr>
              <w:t>联系电话</w:t>
            </w:r>
          </w:p>
        </w:tc>
        <w:tc>
          <w:tcPr>
            <w:tcW w:w="1276" w:type="dxa"/>
            <w:tcBorders>
              <w:top w:val="single" w:color="auto" w:sz="4" w:space="0"/>
              <w:left w:val="single" w:color="auto" w:sz="4" w:space="0"/>
              <w:bottom w:val="single" w:color="auto" w:sz="4" w:space="0"/>
              <w:right w:val="single" w:color="auto" w:sz="4" w:space="0"/>
            </w:tcBorders>
            <w:vAlign w:val="center"/>
          </w:tcPr>
          <w:p w14:paraId="36524747">
            <w:pPr>
              <w:widowControl/>
              <w:jc w:val="center"/>
              <w:rPr>
                <w:rFonts w:ascii="仿宋_GB2312" w:eastAsia="仿宋_GB2312" w:cs="宋体" w:hAnsiTheme="minorEastAsia"/>
                <w:color w:val="000000"/>
                <w:kern w:val="0"/>
                <w:sz w:val="24"/>
              </w:rPr>
            </w:pPr>
            <w:r>
              <w:rPr>
                <w:rFonts w:hint="eastAsia" w:ascii="仿宋_GB2312" w:eastAsia="仿宋_GB2312" w:cs="宋体" w:hAnsiTheme="minorEastAsia"/>
                <w:color w:val="000000"/>
                <w:kern w:val="0"/>
                <w:sz w:val="24"/>
              </w:rPr>
              <w:t>病种名称</w:t>
            </w:r>
          </w:p>
        </w:tc>
        <w:tc>
          <w:tcPr>
            <w:tcW w:w="718" w:type="dxa"/>
            <w:tcBorders>
              <w:top w:val="single" w:color="auto" w:sz="4" w:space="0"/>
              <w:left w:val="single" w:color="auto" w:sz="4" w:space="0"/>
              <w:bottom w:val="single" w:color="auto" w:sz="4" w:space="0"/>
              <w:right w:val="single" w:color="auto" w:sz="4" w:space="0"/>
            </w:tcBorders>
            <w:vAlign w:val="center"/>
          </w:tcPr>
          <w:p w14:paraId="5F79D576">
            <w:pPr>
              <w:widowControl/>
              <w:jc w:val="center"/>
              <w:rPr>
                <w:rFonts w:ascii="仿宋_GB2312" w:eastAsia="仿宋_GB2312" w:cs="宋体" w:hAnsiTheme="minorEastAsia"/>
                <w:color w:val="000000"/>
                <w:kern w:val="0"/>
                <w:sz w:val="24"/>
              </w:rPr>
            </w:pPr>
            <w:r>
              <w:rPr>
                <w:rFonts w:hint="eastAsia" w:ascii="仿宋_GB2312" w:eastAsia="仿宋_GB2312" w:cs="宋体" w:hAnsiTheme="minorEastAsia"/>
                <w:color w:val="000000"/>
                <w:kern w:val="0"/>
                <w:sz w:val="24"/>
              </w:rPr>
              <w:t>鉴定日期</w:t>
            </w:r>
          </w:p>
        </w:tc>
        <w:tc>
          <w:tcPr>
            <w:tcW w:w="1210" w:type="dxa"/>
            <w:tcBorders>
              <w:top w:val="single" w:color="auto" w:sz="4" w:space="0"/>
              <w:left w:val="single" w:color="auto" w:sz="4" w:space="0"/>
              <w:bottom w:val="single" w:color="auto" w:sz="4" w:space="0"/>
              <w:right w:val="single" w:color="auto" w:sz="4" w:space="0"/>
            </w:tcBorders>
            <w:vAlign w:val="center"/>
          </w:tcPr>
          <w:p w14:paraId="3616EBE7">
            <w:pPr>
              <w:widowControl/>
              <w:jc w:val="center"/>
              <w:rPr>
                <w:rFonts w:ascii="仿宋_GB2312" w:eastAsia="仿宋_GB2312" w:cs="宋体" w:hAnsiTheme="minorEastAsia"/>
                <w:color w:val="000000"/>
                <w:kern w:val="0"/>
                <w:sz w:val="24"/>
              </w:rPr>
            </w:pPr>
            <w:r>
              <w:rPr>
                <w:rFonts w:hint="eastAsia" w:ascii="仿宋_GB2312" w:eastAsia="仿宋_GB2312" w:cs="宋体" w:hAnsiTheme="minorEastAsia"/>
                <w:color w:val="000000"/>
                <w:kern w:val="0"/>
                <w:sz w:val="24"/>
              </w:rPr>
              <w:t>鉴定结论</w:t>
            </w:r>
          </w:p>
          <w:p w14:paraId="2D24A961">
            <w:pPr>
              <w:widowControl/>
              <w:jc w:val="center"/>
              <w:rPr>
                <w:rFonts w:ascii="仿宋_GB2312" w:eastAsia="仿宋_GB2312" w:cs="宋体" w:hAnsiTheme="minorEastAsia"/>
                <w:color w:val="000000"/>
                <w:kern w:val="0"/>
                <w:sz w:val="24"/>
              </w:rPr>
            </w:pPr>
            <w:r>
              <w:rPr>
                <w:rFonts w:hint="eastAsia" w:ascii="仿宋_GB2312" w:eastAsia="仿宋_GB2312" w:cs="宋体" w:hAnsiTheme="minorEastAsia"/>
                <w:color w:val="000000"/>
                <w:kern w:val="0"/>
                <w:sz w:val="24"/>
              </w:rPr>
              <w:t>确认负责人</w:t>
            </w:r>
          </w:p>
        </w:tc>
        <w:tc>
          <w:tcPr>
            <w:tcW w:w="1192" w:type="dxa"/>
            <w:tcBorders>
              <w:top w:val="single" w:color="auto" w:sz="4" w:space="0"/>
              <w:left w:val="single" w:color="auto" w:sz="4" w:space="0"/>
              <w:bottom w:val="single" w:color="auto" w:sz="4" w:space="0"/>
              <w:right w:val="single" w:color="auto" w:sz="4" w:space="0"/>
            </w:tcBorders>
            <w:vAlign w:val="center"/>
          </w:tcPr>
          <w:p w14:paraId="08D278AF">
            <w:pPr>
              <w:widowControl/>
              <w:jc w:val="center"/>
              <w:rPr>
                <w:rFonts w:ascii="仿宋_GB2312" w:eastAsia="仿宋_GB2312" w:cs="宋体" w:hAnsiTheme="minorEastAsia"/>
                <w:color w:val="000000"/>
                <w:kern w:val="0"/>
                <w:sz w:val="24"/>
              </w:rPr>
            </w:pPr>
            <w:r>
              <w:rPr>
                <w:rFonts w:hint="eastAsia" w:ascii="仿宋_GB2312" w:eastAsia="仿宋_GB2312" w:cs="宋体" w:hAnsiTheme="minorEastAsia"/>
                <w:color w:val="000000"/>
                <w:kern w:val="0"/>
                <w:sz w:val="24"/>
              </w:rPr>
              <w:t>受理机构（基层服务机构）</w:t>
            </w:r>
          </w:p>
        </w:tc>
        <w:tc>
          <w:tcPr>
            <w:tcW w:w="1416" w:type="dxa"/>
            <w:tcBorders>
              <w:top w:val="single" w:color="auto" w:sz="4" w:space="0"/>
              <w:left w:val="single" w:color="auto" w:sz="4" w:space="0"/>
              <w:bottom w:val="single" w:color="auto" w:sz="4" w:space="0"/>
              <w:right w:val="single" w:color="auto" w:sz="4" w:space="0"/>
            </w:tcBorders>
            <w:vAlign w:val="center"/>
          </w:tcPr>
          <w:p w14:paraId="37DDA9F2">
            <w:pPr>
              <w:widowControl/>
              <w:jc w:val="center"/>
              <w:rPr>
                <w:rFonts w:ascii="仿宋_GB2312" w:eastAsia="仿宋_GB2312" w:cs="宋体" w:hAnsiTheme="minorEastAsia"/>
                <w:color w:val="000000"/>
                <w:kern w:val="0"/>
                <w:sz w:val="24"/>
              </w:rPr>
            </w:pPr>
            <w:r>
              <w:rPr>
                <w:rFonts w:hint="eastAsia" w:ascii="仿宋_GB2312" w:eastAsia="仿宋_GB2312" w:cs="宋体" w:hAnsiTheme="minorEastAsia"/>
                <w:color w:val="000000"/>
                <w:kern w:val="0"/>
                <w:sz w:val="24"/>
              </w:rPr>
              <w:t>鉴定结果（通过或未通过）</w:t>
            </w:r>
          </w:p>
        </w:tc>
      </w:tr>
      <w:tr w14:paraId="3C01D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535" w:type="dxa"/>
            <w:tcBorders>
              <w:top w:val="single" w:color="auto" w:sz="4" w:space="0"/>
              <w:left w:val="single" w:color="auto" w:sz="4" w:space="0"/>
              <w:bottom w:val="single" w:color="auto" w:sz="4" w:space="0"/>
              <w:right w:val="single" w:color="auto" w:sz="4" w:space="0"/>
            </w:tcBorders>
            <w:noWrap/>
            <w:vAlign w:val="center"/>
          </w:tcPr>
          <w:p w14:paraId="50A13814">
            <w:pPr>
              <w:widowControl/>
              <w:jc w:val="center"/>
              <w:rPr>
                <w:rFonts w:ascii="仿宋_GB2312" w:eastAsia="仿宋_GB2312" w:cs="宋体" w:hAnsiTheme="minorEastAsia"/>
                <w:color w:val="000000"/>
                <w:kern w:val="0"/>
                <w:sz w:val="24"/>
              </w:rPr>
            </w:pPr>
            <w:r>
              <w:rPr>
                <w:rFonts w:hint="eastAsia" w:ascii="仿宋_GB2312" w:eastAsia="仿宋_GB2312" w:cs="宋体" w:hAnsiTheme="minorEastAsia"/>
                <w:color w:val="000000"/>
                <w:kern w:val="0"/>
                <w:sz w:val="24"/>
              </w:rPr>
              <w:t>1</w:t>
            </w:r>
          </w:p>
        </w:tc>
        <w:tc>
          <w:tcPr>
            <w:tcW w:w="991" w:type="dxa"/>
            <w:tcBorders>
              <w:top w:val="single" w:color="auto" w:sz="4" w:space="0"/>
              <w:left w:val="single" w:color="auto" w:sz="4" w:space="0"/>
              <w:bottom w:val="single" w:color="auto" w:sz="4" w:space="0"/>
              <w:right w:val="single" w:color="auto" w:sz="4" w:space="0"/>
            </w:tcBorders>
            <w:noWrap/>
          </w:tcPr>
          <w:p w14:paraId="702FFE8C">
            <w:pPr>
              <w:widowControl/>
              <w:rPr>
                <w:rFonts w:ascii="仿宋_GB2312" w:eastAsia="仿宋_GB2312" w:cs="宋体" w:hAnsiTheme="minorEastAsia"/>
                <w:color w:val="000000"/>
                <w:kern w:val="0"/>
                <w:sz w:val="24"/>
              </w:rPr>
            </w:pPr>
            <w:r>
              <w:rPr>
                <w:rFonts w:hint="eastAsia" w:ascii="仿宋_GB2312" w:eastAsia="仿宋_GB2312" w:cs="宋体" w:hAnsiTheme="minorEastAsia"/>
                <w:color w:val="000000"/>
                <w:kern w:val="0"/>
                <w:sz w:val="24"/>
              </w:rPr>
              <w:t>　</w:t>
            </w:r>
          </w:p>
        </w:tc>
        <w:tc>
          <w:tcPr>
            <w:tcW w:w="567" w:type="dxa"/>
            <w:tcBorders>
              <w:top w:val="single" w:color="auto" w:sz="4" w:space="0"/>
              <w:left w:val="single" w:color="auto" w:sz="4" w:space="0"/>
              <w:bottom w:val="single" w:color="auto" w:sz="4" w:space="0"/>
              <w:right w:val="single" w:color="auto" w:sz="4" w:space="0"/>
            </w:tcBorders>
            <w:noWrap/>
          </w:tcPr>
          <w:p w14:paraId="45C0FB0B">
            <w:pPr>
              <w:widowControl/>
              <w:rPr>
                <w:rFonts w:ascii="仿宋_GB2312" w:eastAsia="仿宋_GB2312" w:cs="宋体" w:hAnsiTheme="minorEastAsia"/>
                <w:color w:val="000000"/>
                <w:kern w:val="0"/>
                <w:sz w:val="24"/>
              </w:rPr>
            </w:pPr>
            <w:r>
              <w:rPr>
                <w:rFonts w:hint="eastAsia" w:ascii="仿宋_GB2312" w:eastAsia="仿宋_GB2312" w:cs="宋体" w:hAnsiTheme="minorEastAsia"/>
                <w:color w:val="000000"/>
                <w:kern w:val="0"/>
                <w:sz w:val="24"/>
              </w:rPr>
              <w:t>　</w:t>
            </w:r>
          </w:p>
        </w:tc>
        <w:tc>
          <w:tcPr>
            <w:tcW w:w="1417" w:type="dxa"/>
            <w:tcBorders>
              <w:top w:val="single" w:color="auto" w:sz="4" w:space="0"/>
              <w:left w:val="single" w:color="auto" w:sz="4" w:space="0"/>
              <w:bottom w:val="single" w:color="auto" w:sz="4" w:space="0"/>
              <w:right w:val="single" w:color="auto" w:sz="4" w:space="0"/>
            </w:tcBorders>
            <w:noWrap/>
          </w:tcPr>
          <w:p w14:paraId="0C8F3ED1">
            <w:pPr>
              <w:widowControl/>
              <w:rPr>
                <w:rFonts w:ascii="仿宋_GB2312" w:eastAsia="仿宋_GB2312" w:cs="宋体" w:hAnsiTheme="minorEastAsia"/>
                <w:color w:val="000000"/>
                <w:kern w:val="0"/>
                <w:sz w:val="24"/>
              </w:rPr>
            </w:pPr>
            <w:r>
              <w:rPr>
                <w:rFonts w:hint="eastAsia" w:ascii="仿宋_GB2312" w:eastAsia="仿宋_GB2312" w:cs="宋体" w:hAnsiTheme="minorEastAsia"/>
                <w:color w:val="000000"/>
                <w:kern w:val="0"/>
                <w:sz w:val="24"/>
              </w:rPr>
              <w:t>　</w:t>
            </w:r>
          </w:p>
        </w:tc>
        <w:tc>
          <w:tcPr>
            <w:tcW w:w="1418" w:type="dxa"/>
            <w:tcBorders>
              <w:top w:val="single" w:color="auto" w:sz="4" w:space="0"/>
              <w:left w:val="single" w:color="auto" w:sz="4" w:space="0"/>
              <w:bottom w:val="single" w:color="auto" w:sz="4" w:space="0"/>
              <w:right w:val="single" w:color="auto" w:sz="4" w:space="0"/>
            </w:tcBorders>
          </w:tcPr>
          <w:p w14:paraId="327A1176">
            <w:pPr>
              <w:widowControl/>
              <w:rPr>
                <w:rFonts w:ascii="仿宋_GB2312" w:eastAsia="仿宋_GB2312" w:cs="宋体" w:hAnsiTheme="minorEastAsia"/>
                <w:color w:val="000000"/>
                <w:kern w:val="0"/>
                <w:sz w:val="24"/>
              </w:rPr>
            </w:pPr>
          </w:p>
        </w:tc>
        <w:tc>
          <w:tcPr>
            <w:tcW w:w="1843" w:type="dxa"/>
            <w:tcBorders>
              <w:top w:val="single" w:color="auto" w:sz="4" w:space="0"/>
              <w:left w:val="single" w:color="auto" w:sz="4" w:space="0"/>
              <w:bottom w:val="single" w:color="auto" w:sz="4" w:space="0"/>
              <w:right w:val="single" w:color="auto" w:sz="4" w:space="0"/>
            </w:tcBorders>
          </w:tcPr>
          <w:p w14:paraId="54F7D302">
            <w:pPr>
              <w:widowControl/>
              <w:rPr>
                <w:rFonts w:ascii="仿宋_GB2312" w:eastAsia="仿宋_GB2312" w:cs="宋体" w:hAnsiTheme="minorEastAsia"/>
                <w:color w:val="000000"/>
                <w:kern w:val="0"/>
                <w:sz w:val="24"/>
              </w:rPr>
            </w:pPr>
          </w:p>
        </w:tc>
        <w:tc>
          <w:tcPr>
            <w:tcW w:w="1275" w:type="dxa"/>
            <w:tcBorders>
              <w:top w:val="single" w:color="auto" w:sz="4" w:space="0"/>
              <w:left w:val="single" w:color="auto" w:sz="4" w:space="0"/>
              <w:bottom w:val="single" w:color="auto" w:sz="4" w:space="0"/>
              <w:right w:val="single" w:color="auto" w:sz="4" w:space="0"/>
            </w:tcBorders>
            <w:noWrap/>
          </w:tcPr>
          <w:p w14:paraId="60E76CDC">
            <w:pPr>
              <w:widowControl/>
              <w:rPr>
                <w:rFonts w:ascii="仿宋_GB2312" w:eastAsia="仿宋_GB2312" w:cs="宋体" w:hAnsiTheme="minorEastAsia"/>
                <w:color w:val="000000"/>
                <w:kern w:val="0"/>
                <w:sz w:val="24"/>
              </w:rPr>
            </w:pPr>
          </w:p>
        </w:tc>
        <w:tc>
          <w:tcPr>
            <w:tcW w:w="1276" w:type="dxa"/>
            <w:tcBorders>
              <w:top w:val="single" w:color="auto" w:sz="4" w:space="0"/>
              <w:left w:val="single" w:color="auto" w:sz="4" w:space="0"/>
              <w:bottom w:val="single" w:color="auto" w:sz="4" w:space="0"/>
              <w:right w:val="single" w:color="auto" w:sz="4" w:space="0"/>
            </w:tcBorders>
          </w:tcPr>
          <w:p w14:paraId="73C5C02C">
            <w:pPr>
              <w:rPr>
                <w:rFonts w:ascii="仿宋_GB2312" w:eastAsia="仿宋_GB2312" w:cs="宋体" w:hAnsiTheme="minorEastAsia"/>
                <w:color w:val="000000"/>
                <w:kern w:val="0"/>
                <w:sz w:val="24"/>
              </w:rPr>
            </w:pPr>
            <w:r>
              <w:rPr>
                <w:rFonts w:hint="eastAsia" w:ascii="仿宋_GB2312" w:eastAsia="仿宋_GB2312" w:cs="宋体" w:hAnsiTheme="minorEastAsia"/>
                <w:color w:val="000000"/>
                <w:kern w:val="0"/>
                <w:sz w:val="24"/>
              </w:rPr>
              <w:t>　</w:t>
            </w:r>
          </w:p>
        </w:tc>
        <w:tc>
          <w:tcPr>
            <w:tcW w:w="718" w:type="dxa"/>
            <w:tcBorders>
              <w:top w:val="single" w:color="auto" w:sz="4" w:space="0"/>
              <w:left w:val="single" w:color="auto" w:sz="4" w:space="0"/>
              <w:bottom w:val="single" w:color="auto" w:sz="4" w:space="0"/>
              <w:right w:val="single" w:color="auto" w:sz="4" w:space="0"/>
            </w:tcBorders>
          </w:tcPr>
          <w:p w14:paraId="0CCD9491">
            <w:pPr>
              <w:rPr>
                <w:rFonts w:ascii="仿宋_GB2312" w:eastAsia="仿宋_GB2312" w:cs="宋体" w:hAnsiTheme="minorEastAsia"/>
                <w:color w:val="000000"/>
                <w:kern w:val="0"/>
                <w:sz w:val="24"/>
              </w:rPr>
            </w:pPr>
          </w:p>
        </w:tc>
        <w:tc>
          <w:tcPr>
            <w:tcW w:w="1210" w:type="dxa"/>
            <w:tcBorders>
              <w:top w:val="single" w:color="auto" w:sz="4" w:space="0"/>
              <w:left w:val="single" w:color="auto" w:sz="4" w:space="0"/>
              <w:bottom w:val="single" w:color="auto" w:sz="4" w:space="0"/>
              <w:right w:val="single" w:color="auto" w:sz="4" w:space="0"/>
            </w:tcBorders>
          </w:tcPr>
          <w:p w14:paraId="199F44A5">
            <w:pPr>
              <w:rPr>
                <w:rFonts w:ascii="仿宋_GB2312" w:eastAsia="仿宋_GB2312" w:cs="宋体" w:hAnsiTheme="minorEastAsia"/>
                <w:color w:val="000000"/>
                <w:kern w:val="0"/>
                <w:sz w:val="24"/>
              </w:rPr>
            </w:pPr>
          </w:p>
        </w:tc>
        <w:tc>
          <w:tcPr>
            <w:tcW w:w="1192" w:type="dxa"/>
            <w:tcBorders>
              <w:top w:val="single" w:color="auto" w:sz="4" w:space="0"/>
              <w:left w:val="single" w:color="auto" w:sz="4" w:space="0"/>
              <w:bottom w:val="single" w:color="auto" w:sz="4" w:space="0"/>
              <w:right w:val="single" w:color="auto" w:sz="4" w:space="0"/>
            </w:tcBorders>
          </w:tcPr>
          <w:p w14:paraId="1A26016F">
            <w:pPr>
              <w:rPr>
                <w:rFonts w:ascii="仿宋_GB2312" w:eastAsia="仿宋_GB2312" w:cs="宋体" w:hAnsiTheme="minorEastAsia"/>
                <w:color w:val="000000"/>
                <w:kern w:val="0"/>
                <w:sz w:val="24"/>
              </w:rPr>
            </w:pPr>
          </w:p>
        </w:tc>
        <w:tc>
          <w:tcPr>
            <w:tcW w:w="1416" w:type="dxa"/>
            <w:tcBorders>
              <w:top w:val="single" w:color="auto" w:sz="4" w:space="0"/>
              <w:left w:val="single" w:color="auto" w:sz="4" w:space="0"/>
              <w:bottom w:val="single" w:color="auto" w:sz="4" w:space="0"/>
              <w:right w:val="single" w:color="auto" w:sz="4" w:space="0"/>
            </w:tcBorders>
          </w:tcPr>
          <w:p w14:paraId="65C561B9">
            <w:pPr>
              <w:rPr>
                <w:rFonts w:ascii="仿宋_GB2312" w:eastAsia="仿宋_GB2312" w:cs="宋体" w:hAnsiTheme="minorEastAsia"/>
                <w:color w:val="000000"/>
                <w:kern w:val="0"/>
                <w:sz w:val="24"/>
              </w:rPr>
            </w:pPr>
          </w:p>
        </w:tc>
      </w:tr>
      <w:tr w14:paraId="26334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535" w:type="dxa"/>
            <w:tcBorders>
              <w:top w:val="single" w:color="auto" w:sz="4" w:space="0"/>
              <w:left w:val="single" w:color="auto" w:sz="4" w:space="0"/>
              <w:bottom w:val="single" w:color="auto" w:sz="4" w:space="0"/>
              <w:right w:val="single" w:color="auto" w:sz="4" w:space="0"/>
            </w:tcBorders>
            <w:noWrap/>
            <w:vAlign w:val="center"/>
          </w:tcPr>
          <w:p w14:paraId="628893AC">
            <w:pPr>
              <w:widowControl/>
              <w:jc w:val="center"/>
              <w:rPr>
                <w:rFonts w:ascii="仿宋_GB2312" w:eastAsia="仿宋_GB2312" w:cs="宋体" w:hAnsiTheme="minorEastAsia"/>
                <w:color w:val="000000"/>
                <w:kern w:val="0"/>
                <w:sz w:val="24"/>
              </w:rPr>
            </w:pPr>
            <w:r>
              <w:rPr>
                <w:rFonts w:hint="eastAsia" w:ascii="仿宋_GB2312" w:eastAsia="仿宋_GB2312" w:cs="宋体" w:hAnsiTheme="minorEastAsia"/>
                <w:color w:val="000000"/>
                <w:kern w:val="0"/>
                <w:sz w:val="24"/>
              </w:rPr>
              <w:t>2</w:t>
            </w:r>
          </w:p>
        </w:tc>
        <w:tc>
          <w:tcPr>
            <w:tcW w:w="991" w:type="dxa"/>
            <w:tcBorders>
              <w:top w:val="single" w:color="auto" w:sz="4" w:space="0"/>
              <w:left w:val="single" w:color="auto" w:sz="4" w:space="0"/>
              <w:bottom w:val="single" w:color="auto" w:sz="4" w:space="0"/>
              <w:right w:val="single" w:color="auto" w:sz="4" w:space="0"/>
            </w:tcBorders>
            <w:noWrap/>
          </w:tcPr>
          <w:p w14:paraId="36973679">
            <w:pPr>
              <w:widowControl/>
              <w:rPr>
                <w:rFonts w:ascii="仿宋_GB2312" w:eastAsia="仿宋_GB2312" w:cs="宋体" w:hAnsiTheme="minorEastAsia"/>
                <w:color w:val="000000"/>
                <w:kern w:val="0"/>
                <w:sz w:val="24"/>
              </w:rPr>
            </w:pPr>
            <w:r>
              <w:rPr>
                <w:rFonts w:hint="eastAsia" w:ascii="仿宋_GB2312" w:eastAsia="仿宋_GB2312" w:cs="宋体" w:hAnsiTheme="minorEastAsia"/>
                <w:color w:val="000000"/>
                <w:kern w:val="0"/>
                <w:sz w:val="24"/>
              </w:rPr>
              <w:t>　</w:t>
            </w:r>
          </w:p>
        </w:tc>
        <w:tc>
          <w:tcPr>
            <w:tcW w:w="567" w:type="dxa"/>
            <w:tcBorders>
              <w:top w:val="single" w:color="auto" w:sz="4" w:space="0"/>
              <w:left w:val="single" w:color="auto" w:sz="4" w:space="0"/>
              <w:bottom w:val="single" w:color="auto" w:sz="4" w:space="0"/>
              <w:right w:val="single" w:color="auto" w:sz="4" w:space="0"/>
            </w:tcBorders>
            <w:noWrap/>
          </w:tcPr>
          <w:p w14:paraId="6F5CAB7E">
            <w:pPr>
              <w:widowControl/>
              <w:rPr>
                <w:rFonts w:ascii="仿宋_GB2312" w:eastAsia="仿宋_GB2312" w:cs="宋体" w:hAnsiTheme="minorEastAsia"/>
                <w:color w:val="000000"/>
                <w:kern w:val="0"/>
                <w:sz w:val="24"/>
              </w:rPr>
            </w:pPr>
            <w:r>
              <w:rPr>
                <w:rFonts w:hint="eastAsia" w:ascii="仿宋_GB2312" w:eastAsia="仿宋_GB2312" w:cs="宋体" w:hAnsiTheme="minorEastAsia"/>
                <w:color w:val="000000"/>
                <w:kern w:val="0"/>
                <w:sz w:val="24"/>
              </w:rPr>
              <w:t>　</w:t>
            </w:r>
          </w:p>
        </w:tc>
        <w:tc>
          <w:tcPr>
            <w:tcW w:w="1417" w:type="dxa"/>
            <w:tcBorders>
              <w:top w:val="single" w:color="auto" w:sz="4" w:space="0"/>
              <w:left w:val="single" w:color="auto" w:sz="4" w:space="0"/>
              <w:bottom w:val="single" w:color="auto" w:sz="4" w:space="0"/>
              <w:right w:val="single" w:color="auto" w:sz="4" w:space="0"/>
            </w:tcBorders>
            <w:noWrap/>
          </w:tcPr>
          <w:p w14:paraId="7FE35D40">
            <w:pPr>
              <w:widowControl/>
              <w:rPr>
                <w:rFonts w:ascii="仿宋_GB2312" w:eastAsia="仿宋_GB2312" w:cs="宋体" w:hAnsiTheme="minorEastAsia"/>
                <w:color w:val="000000"/>
                <w:kern w:val="0"/>
                <w:sz w:val="24"/>
              </w:rPr>
            </w:pPr>
            <w:r>
              <w:rPr>
                <w:rFonts w:hint="eastAsia" w:ascii="仿宋_GB2312" w:eastAsia="仿宋_GB2312" w:cs="宋体" w:hAnsiTheme="minorEastAsia"/>
                <w:color w:val="000000"/>
                <w:kern w:val="0"/>
                <w:sz w:val="24"/>
              </w:rPr>
              <w:t>　</w:t>
            </w:r>
          </w:p>
        </w:tc>
        <w:tc>
          <w:tcPr>
            <w:tcW w:w="1418" w:type="dxa"/>
            <w:tcBorders>
              <w:top w:val="single" w:color="auto" w:sz="4" w:space="0"/>
              <w:left w:val="single" w:color="auto" w:sz="4" w:space="0"/>
              <w:bottom w:val="single" w:color="auto" w:sz="4" w:space="0"/>
              <w:right w:val="single" w:color="auto" w:sz="4" w:space="0"/>
            </w:tcBorders>
          </w:tcPr>
          <w:p w14:paraId="0D330D61">
            <w:pPr>
              <w:widowControl/>
              <w:rPr>
                <w:rFonts w:ascii="仿宋_GB2312" w:eastAsia="仿宋_GB2312" w:cs="宋体" w:hAnsiTheme="minorEastAsia"/>
                <w:color w:val="000000"/>
                <w:kern w:val="0"/>
                <w:sz w:val="24"/>
              </w:rPr>
            </w:pPr>
          </w:p>
        </w:tc>
        <w:tc>
          <w:tcPr>
            <w:tcW w:w="1843" w:type="dxa"/>
            <w:tcBorders>
              <w:top w:val="single" w:color="auto" w:sz="4" w:space="0"/>
              <w:left w:val="single" w:color="auto" w:sz="4" w:space="0"/>
              <w:bottom w:val="single" w:color="auto" w:sz="4" w:space="0"/>
              <w:right w:val="single" w:color="auto" w:sz="4" w:space="0"/>
            </w:tcBorders>
          </w:tcPr>
          <w:p w14:paraId="43312CDF">
            <w:pPr>
              <w:widowControl/>
              <w:rPr>
                <w:rFonts w:ascii="仿宋_GB2312" w:eastAsia="仿宋_GB2312" w:cs="宋体" w:hAnsiTheme="minorEastAsia"/>
                <w:color w:val="000000"/>
                <w:kern w:val="0"/>
                <w:sz w:val="24"/>
              </w:rPr>
            </w:pPr>
          </w:p>
        </w:tc>
        <w:tc>
          <w:tcPr>
            <w:tcW w:w="1275" w:type="dxa"/>
            <w:tcBorders>
              <w:top w:val="single" w:color="auto" w:sz="4" w:space="0"/>
              <w:left w:val="single" w:color="auto" w:sz="4" w:space="0"/>
              <w:bottom w:val="single" w:color="auto" w:sz="4" w:space="0"/>
              <w:right w:val="single" w:color="auto" w:sz="4" w:space="0"/>
            </w:tcBorders>
            <w:noWrap/>
          </w:tcPr>
          <w:p w14:paraId="20CA4E14">
            <w:pPr>
              <w:widowControl/>
              <w:rPr>
                <w:rFonts w:ascii="仿宋_GB2312" w:eastAsia="仿宋_GB2312" w:cs="宋体" w:hAnsiTheme="minorEastAsia"/>
                <w:color w:val="000000"/>
                <w:kern w:val="0"/>
                <w:sz w:val="24"/>
              </w:rPr>
            </w:pPr>
          </w:p>
        </w:tc>
        <w:tc>
          <w:tcPr>
            <w:tcW w:w="1276" w:type="dxa"/>
            <w:tcBorders>
              <w:top w:val="single" w:color="auto" w:sz="4" w:space="0"/>
              <w:left w:val="single" w:color="auto" w:sz="4" w:space="0"/>
              <w:bottom w:val="single" w:color="auto" w:sz="4" w:space="0"/>
              <w:right w:val="single" w:color="auto" w:sz="4" w:space="0"/>
            </w:tcBorders>
          </w:tcPr>
          <w:p w14:paraId="37CA86DB">
            <w:pPr>
              <w:rPr>
                <w:rFonts w:ascii="仿宋_GB2312" w:eastAsia="仿宋_GB2312" w:cs="宋体" w:hAnsiTheme="minorEastAsia"/>
                <w:color w:val="000000"/>
                <w:kern w:val="0"/>
                <w:sz w:val="24"/>
              </w:rPr>
            </w:pPr>
            <w:r>
              <w:rPr>
                <w:rFonts w:hint="eastAsia" w:ascii="仿宋_GB2312" w:eastAsia="仿宋_GB2312" w:cs="宋体" w:hAnsiTheme="minorEastAsia"/>
                <w:color w:val="000000"/>
                <w:kern w:val="0"/>
                <w:sz w:val="24"/>
              </w:rPr>
              <w:t>　</w:t>
            </w:r>
          </w:p>
        </w:tc>
        <w:tc>
          <w:tcPr>
            <w:tcW w:w="718" w:type="dxa"/>
            <w:tcBorders>
              <w:top w:val="single" w:color="auto" w:sz="4" w:space="0"/>
              <w:left w:val="single" w:color="auto" w:sz="4" w:space="0"/>
              <w:bottom w:val="single" w:color="auto" w:sz="4" w:space="0"/>
              <w:right w:val="single" w:color="auto" w:sz="4" w:space="0"/>
            </w:tcBorders>
          </w:tcPr>
          <w:p w14:paraId="1E93D130">
            <w:pPr>
              <w:rPr>
                <w:rFonts w:ascii="仿宋_GB2312" w:eastAsia="仿宋_GB2312" w:cs="宋体" w:hAnsiTheme="minorEastAsia"/>
                <w:color w:val="000000"/>
                <w:kern w:val="0"/>
                <w:sz w:val="24"/>
              </w:rPr>
            </w:pPr>
          </w:p>
        </w:tc>
        <w:tc>
          <w:tcPr>
            <w:tcW w:w="1210" w:type="dxa"/>
            <w:tcBorders>
              <w:top w:val="single" w:color="auto" w:sz="4" w:space="0"/>
              <w:left w:val="single" w:color="auto" w:sz="4" w:space="0"/>
              <w:bottom w:val="single" w:color="auto" w:sz="4" w:space="0"/>
              <w:right w:val="single" w:color="auto" w:sz="4" w:space="0"/>
            </w:tcBorders>
          </w:tcPr>
          <w:p w14:paraId="48613327">
            <w:pPr>
              <w:rPr>
                <w:rFonts w:ascii="仿宋_GB2312" w:eastAsia="仿宋_GB2312" w:cs="宋体" w:hAnsiTheme="minorEastAsia"/>
                <w:color w:val="000000"/>
                <w:kern w:val="0"/>
                <w:sz w:val="24"/>
              </w:rPr>
            </w:pPr>
          </w:p>
        </w:tc>
        <w:tc>
          <w:tcPr>
            <w:tcW w:w="1192" w:type="dxa"/>
            <w:tcBorders>
              <w:top w:val="single" w:color="auto" w:sz="4" w:space="0"/>
              <w:left w:val="single" w:color="auto" w:sz="4" w:space="0"/>
              <w:bottom w:val="single" w:color="auto" w:sz="4" w:space="0"/>
              <w:right w:val="single" w:color="auto" w:sz="4" w:space="0"/>
            </w:tcBorders>
          </w:tcPr>
          <w:p w14:paraId="540E6511">
            <w:pPr>
              <w:rPr>
                <w:rFonts w:ascii="仿宋_GB2312" w:eastAsia="仿宋_GB2312" w:cs="宋体" w:hAnsiTheme="minorEastAsia"/>
                <w:color w:val="000000"/>
                <w:kern w:val="0"/>
                <w:sz w:val="24"/>
              </w:rPr>
            </w:pPr>
          </w:p>
        </w:tc>
        <w:tc>
          <w:tcPr>
            <w:tcW w:w="1416" w:type="dxa"/>
            <w:tcBorders>
              <w:top w:val="single" w:color="auto" w:sz="4" w:space="0"/>
              <w:left w:val="single" w:color="auto" w:sz="4" w:space="0"/>
              <w:bottom w:val="single" w:color="auto" w:sz="4" w:space="0"/>
              <w:right w:val="single" w:color="auto" w:sz="4" w:space="0"/>
            </w:tcBorders>
          </w:tcPr>
          <w:p w14:paraId="7CD5BC9D">
            <w:pPr>
              <w:rPr>
                <w:rFonts w:ascii="仿宋_GB2312" w:eastAsia="仿宋_GB2312" w:cs="宋体" w:hAnsiTheme="minorEastAsia"/>
                <w:color w:val="000000"/>
                <w:kern w:val="0"/>
                <w:sz w:val="24"/>
              </w:rPr>
            </w:pPr>
          </w:p>
        </w:tc>
      </w:tr>
      <w:tr w14:paraId="28D6A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535" w:type="dxa"/>
            <w:tcBorders>
              <w:top w:val="single" w:color="auto" w:sz="4" w:space="0"/>
              <w:left w:val="single" w:color="auto" w:sz="4" w:space="0"/>
              <w:bottom w:val="single" w:color="auto" w:sz="4" w:space="0"/>
              <w:right w:val="single" w:color="auto" w:sz="4" w:space="0"/>
            </w:tcBorders>
            <w:noWrap/>
            <w:vAlign w:val="center"/>
          </w:tcPr>
          <w:p w14:paraId="304CCBB7">
            <w:pPr>
              <w:widowControl/>
              <w:jc w:val="center"/>
              <w:rPr>
                <w:rFonts w:ascii="仿宋_GB2312" w:eastAsia="仿宋_GB2312" w:cs="宋体" w:hAnsiTheme="minorEastAsia"/>
                <w:color w:val="000000"/>
                <w:kern w:val="0"/>
                <w:sz w:val="24"/>
              </w:rPr>
            </w:pPr>
            <w:r>
              <w:rPr>
                <w:rFonts w:hint="eastAsia" w:ascii="仿宋_GB2312" w:eastAsia="仿宋_GB2312" w:cs="宋体" w:hAnsiTheme="minorEastAsia"/>
                <w:color w:val="000000"/>
                <w:kern w:val="0"/>
                <w:sz w:val="24"/>
              </w:rPr>
              <w:t>3</w:t>
            </w:r>
          </w:p>
        </w:tc>
        <w:tc>
          <w:tcPr>
            <w:tcW w:w="991" w:type="dxa"/>
            <w:tcBorders>
              <w:top w:val="single" w:color="auto" w:sz="4" w:space="0"/>
              <w:left w:val="single" w:color="auto" w:sz="4" w:space="0"/>
              <w:bottom w:val="single" w:color="auto" w:sz="4" w:space="0"/>
              <w:right w:val="single" w:color="auto" w:sz="4" w:space="0"/>
            </w:tcBorders>
            <w:noWrap/>
          </w:tcPr>
          <w:p w14:paraId="3418A25D">
            <w:pPr>
              <w:widowControl/>
              <w:rPr>
                <w:rFonts w:ascii="仿宋_GB2312" w:eastAsia="仿宋_GB2312" w:cs="宋体" w:hAnsiTheme="minorEastAsia"/>
                <w:color w:val="000000"/>
                <w:kern w:val="0"/>
                <w:sz w:val="24"/>
              </w:rPr>
            </w:pPr>
            <w:r>
              <w:rPr>
                <w:rFonts w:hint="eastAsia" w:ascii="仿宋_GB2312" w:eastAsia="仿宋_GB2312" w:cs="宋体" w:hAnsiTheme="minorEastAsia"/>
                <w:color w:val="000000"/>
                <w:kern w:val="0"/>
                <w:sz w:val="24"/>
              </w:rPr>
              <w:t>　</w:t>
            </w:r>
          </w:p>
        </w:tc>
        <w:tc>
          <w:tcPr>
            <w:tcW w:w="567" w:type="dxa"/>
            <w:tcBorders>
              <w:top w:val="single" w:color="auto" w:sz="4" w:space="0"/>
              <w:left w:val="single" w:color="auto" w:sz="4" w:space="0"/>
              <w:bottom w:val="single" w:color="auto" w:sz="4" w:space="0"/>
              <w:right w:val="single" w:color="auto" w:sz="4" w:space="0"/>
            </w:tcBorders>
            <w:noWrap/>
          </w:tcPr>
          <w:p w14:paraId="0298FCBF">
            <w:pPr>
              <w:widowControl/>
              <w:rPr>
                <w:rFonts w:ascii="仿宋_GB2312" w:eastAsia="仿宋_GB2312" w:cs="宋体" w:hAnsiTheme="minorEastAsia"/>
                <w:color w:val="000000"/>
                <w:kern w:val="0"/>
                <w:sz w:val="24"/>
              </w:rPr>
            </w:pPr>
            <w:r>
              <w:rPr>
                <w:rFonts w:hint="eastAsia" w:ascii="仿宋_GB2312" w:eastAsia="仿宋_GB2312" w:cs="宋体" w:hAnsiTheme="minorEastAsia"/>
                <w:color w:val="000000"/>
                <w:kern w:val="0"/>
                <w:sz w:val="24"/>
              </w:rPr>
              <w:t>　</w:t>
            </w:r>
          </w:p>
        </w:tc>
        <w:tc>
          <w:tcPr>
            <w:tcW w:w="1417" w:type="dxa"/>
            <w:tcBorders>
              <w:top w:val="single" w:color="auto" w:sz="4" w:space="0"/>
              <w:left w:val="single" w:color="auto" w:sz="4" w:space="0"/>
              <w:bottom w:val="single" w:color="auto" w:sz="4" w:space="0"/>
              <w:right w:val="single" w:color="auto" w:sz="4" w:space="0"/>
            </w:tcBorders>
            <w:noWrap/>
          </w:tcPr>
          <w:p w14:paraId="41778905">
            <w:pPr>
              <w:widowControl/>
              <w:rPr>
                <w:rFonts w:ascii="仿宋_GB2312" w:eastAsia="仿宋_GB2312" w:cs="宋体" w:hAnsiTheme="minorEastAsia"/>
                <w:color w:val="000000"/>
                <w:kern w:val="0"/>
                <w:sz w:val="24"/>
              </w:rPr>
            </w:pPr>
            <w:r>
              <w:rPr>
                <w:rFonts w:hint="eastAsia" w:ascii="仿宋_GB2312" w:eastAsia="仿宋_GB2312" w:cs="宋体" w:hAnsiTheme="minorEastAsia"/>
                <w:color w:val="000000"/>
                <w:kern w:val="0"/>
                <w:sz w:val="24"/>
              </w:rPr>
              <w:t>　</w:t>
            </w:r>
          </w:p>
        </w:tc>
        <w:tc>
          <w:tcPr>
            <w:tcW w:w="1418" w:type="dxa"/>
            <w:tcBorders>
              <w:top w:val="single" w:color="auto" w:sz="4" w:space="0"/>
              <w:left w:val="single" w:color="auto" w:sz="4" w:space="0"/>
              <w:bottom w:val="single" w:color="auto" w:sz="4" w:space="0"/>
              <w:right w:val="single" w:color="auto" w:sz="4" w:space="0"/>
            </w:tcBorders>
          </w:tcPr>
          <w:p w14:paraId="3206FBC2">
            <w:pPr>
              <w:widowControl/>
              <w:rPr>
                <w:rFonts w:ascii="仿宋_GB2312" w:eastAsia="仿宋_GB2312" w:cs="宋体" w:hAnsiTheme="minorEastAsia"/>
                <w:color w:val="000000"/>
                <w:kern w:val="0"/>
                <w:sz w:val="24"/>
              </w:rPr>
            </w:pPr>
          </w:p>
        </w:tc>
        <w:tc>
          <w:tcPr>
            <w:tcW w:w="1843" w:type="dxa"/>
            <w:tcBorders>
              <w:top w:val="single" w:color="auto" w:sz="4" w:space="0"/>
              <w:left w:val="single" w:color="auto" w:sz="4" w:space="0"/>
              <w:bottom w:val="single" w:color="auto" w:sz="4" w:space="0"/>
              <w:right w:val="single" w:color="auto" w:sz="4" w:space="0"/>
            </w:tcBorders>
          </w:tcPr>
          <w:p w14:paraId="204D2B80">
            <w:pPr>
              <w:widowControl/>
              <w:rPr>
                <w:rFonts w:ascii="仿宋_GB2312" w:eastAsia="仿宋_GB2312" w:cs="宋体" w:hAnsiTheme="minorEastAsia"/>
                <w:color w:val="000000"/>
                <w:kern w:val="0"/>
                <w:sz w:val="24"/>
              </w:rPr>
            </w:pPr>
          </w:p>
        </w:tc>
        <w:tc>
          <w:tcPr>
            <w:tcW w:w="1275" w:type="dxa"/>
            <w:tcBorders>
              <w:top w:val="single" w:color="auto" w:sz="4" w:space="0"/>
              <w:left w:val="single" w:color="auto" w:sz="4" w:space="0"/>
              <w:bottom w:val="single" w:color="auto" w:sz="4" w:space="0"/>
              <w:right w:val="single" w:color="auto" w:sz="4" w:space="0"/>
            </w:tcBorders>
            <w:noWrap/>
          </w:tcPr>
          <w:p w14:paraId="16B14510">
            <w:pPr>
              <w:widowControl/>
              <w:rPr>
                <w:rFonts w:ascii="仿宋_GB2312" w:eastAsia="仿宋_GB2312" w:cs="宋体" w:hAnsiTheme="minorEastAsia"/>
                <w:color w:val="000000"/>
                <w:kern w:val="0"/>
                <w:sz w:val="24"/>
              </w:rPr>
            </w:pPr>
          </w:p>
        </w:tc>
        <w:tc>
          <w:tcPr>
            <w:tcW w:w="1276" w:type="dxa"/>
            <w:tcBorders>
              <w:top w:val="single" w:color="auto" w:sz="4" w:space="0"/>
              <w:left w:val="single" w:color="auto" w:sz="4" w:space="0"/>
              <w:bottom w:val="single" w:color="auto" w:sz="4" w:space="0"/>
              <w:right w:val="single" w:color="auto" w:sz="4" w:space="0"/>
            </w:tcBorders>
          </w:tcPr>
          <w:p w14:paraId="36941C3C">
            <w:pPr>
              <w:rPr>
                <w:rFonts w:ascii="仿宋_GB2312" w:eastAsia="仿宋_GB2312" w:cs="宋体" w:hAnsiTheme="minorEastAsia"/>
                <w:color w:val="000000"/>
                <w:kern w:val="0"/>
                <w:sz w:val="24"/>
              </w:rPr>
            </w:pPr>
            <w:r>
              <w:rPr>
                <w:rFonts w:hint="eastAsia" w:ascii="仿宋_GB2312" w:eastAsia="仿宋_GB2312" w:cs="宋体" w:hAnsiTheme="minorEastAsia"/>
                <w:color w:val="000000"/>
                <w:kern w:val="0"/>
                <w:sz w:val="24"/>
              </w:rPr>
              <w:t>　</w:t>
            </w:r>
          </w:p>
        </w:tc>
        <w:tc>
          <w:tcPr>
            <w:tcW w:w="718" w:type="dxa"/>
            <w:tcBorders>
              <w:top w:val="single" w:color="auto" w:sz="4" w:space="0"/>
              <w:left w:val="single" w:color="auto" w:sz="4" w:space="0"/>
              <w:bottom w:val="single" w:color="auto" w:sz="4" w:space="0"/>
              <w:right w:val="single" w:color="auto" w:sz="4" w:space="0"/>
            </w:tcBorders>
          </w:tcPr>
          <w:p w14:paraId="762B153D">
            <w:pPr>
              <w:rPr>
                <w:rFonts w:ascii="仿宋_GB2312" w:eastAsia="仿宋_GB2312" w:cs="宋体" w:hAnsiTheme="minorEastAsia"/>
                <w:color w:val="000000"/>
                <w:kern w:val="0"/>
                <w:sz w:val="24"/>
              </w:rPr>
            </w:pPr>
          </w:p>
        </w:tc>
        <w:tc>
          <w:tcPr>
            <w:tcW w:w="1210" w:type="dxa"/>
            <w:tcBorders>
              <w:top w:val="single" w:color="auto" w:sz="4" w:space="0"/>
              <w:left w:val="single" w:color="auto" w:sz="4" w:space="0"/>
              <w:bottom w:val="single" w:color="auto" w:sz="4" w:space="0"/>
              <w:right w:val="single" w:color="auto" w:sz="4" w:space="0"/>
            </w:tcBorders>
          </w:tcPr>
          <w:p w14:paraId="31CC8661">
            <w:pPr>
              <w:rPr>
                <w:rFonts w:ascii="仿宋_GB2312" w:eastAsia="仿宋_GB2312" w:cs="宋体" w:hAnsiTheme="minorEastAsia"/>
                <w:color w:val="000000"/>
                <w:kern w:val="0"/>
                <w:sz w:val="24"/>
              </w:rPr>
            </w:pPr>
          </w:p>
        </w:tc>
        <w:tc>
          <w:tcPr>
            <w:tcW w:w="1192" w:type="dxa"/>
            <w:tcBorders>
              <w:top w:val="single" w:color="auto" w:sz="4" w:space="0"/>
              <w:left w:val="single" w:color="auto" w:sz="4" w:space="0"/>
              <w:bottom w:val="single" w:color="auto" w:sz="4" w:space="0"/>
              <w:right w:val="single" w:color="auto" w:sz="4" w:space="0"/>
            </w:tcBorders>
          </w:tcPr>
          <w:p w14:paraId="07CB8244">
            <w:pPr>
              <w:rPr>
                <w:rFonts w:ascii="仿宋_GB2312" w:eastAsia="仿宋_GB2312" w:cs="宋体" w:hAnsiTheme="minorEastAsia"/>
                <w:color w:val="000000"/>
                <w:kern w:val="0"/>
                <w:sz w:val="24"/>
              </w:rPr>
            </w:pPr>
          </w:p>
        </w:tc>
        <w:tc>
          <w:tcPr>
            <w:tcW w:w="1416" w:type="dxa"/>
            <w:tcBorders>
              <w:top w:val="single" w:color="auto" w:sz="4" w:space="0"/>
              <w:left w:val="single" w:color="auto" w:sz="4" w:space="0"/>
              <w:bottom w:val="single" w:color="auto" w:sz="4" w:space="0"/>
              <w:right w:val="single" w:color="auto" w:sz="4" w:space="0"/>
            </w:tcBorders>
          </w:tcPr>
          <w:p w14:paraId="3395A7AA">
            <w:pPr>
              <w:rPr>
                <w:rFonts w:ascii="仿宋_GB2312" w:eastAsia="仿宋_GB2312" w:cs="宋体" w:hAnsiTheme="minorEastAsia"/>
                <w:color w:val="000000"/>
                <w:kern w:val="0"/>
                <w:sz w:val="24"/>
              </w:rPr>
            </w:pPr>
          </w:p>
        </w:tc>
      </w:tr>
      <w:tr w14:paraId="02CE9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535" w:type="dxa"/>
            <w:tcBorders>
              <w:top w:val="single" w:color="auto" w:sz="4" w:space="0"/>
              <w:left w:val="single" w:color="auto" w:sz="4" w:space="0"/>
              <w:bottom w:val="single" w:color="auto" w:sz="4" w:space="0"/>
              <w:right w:val="single" w:color="auto" w:sz="4" w:space="0"/>
            </w:tcBorders>
            <w:noWrap/>
            <w:vAlign w:val="center"/>
          </w:tcPr>
          <w:p w14:paraId="034A3757">
            <w:pPr>
              <w:widowControl/>
              <w:jc w:val="center"/>
              <w:rPr>
                <w:rFonts w:ascii="仿宋_GB2312" w:eastAsia="仿宋_GB2312" w:cs="宋体" w:hAnsiTheme="minorEastAsia"/>
                <w:color w:val="000000"/>
                <w:kern w:val="0"/>
                <w:sz w:val="24"/>
              </w:rPr>
            </w:pPr>
            <w:r>
              <w:rPr>
                <w:rFonts w:hint="eastAsia" w:ascii="仿宋_GB2312" w:eastAsia="仿宋_GB2312" w:cs="宋体" w:hAnsiTheme="minorEastAsia"/>
                <w:color w:val="000000"/>
                <w:kern w:val="0"/>
                <w:sz w:val="24"/>
              </w:rPr>
              <w:t>4</w:t>
            </w:r>
          </w:p>
        </w:tc>
        <w:tc>
          <w:tcPr>
            <w:tcW w:w="991" w:type="dxa"/>
            <w:tcBorders>
              <w:top w:val="single" w:color="auto" w:sz="4" w:space="0"/>
              <w:left w:val="single" w:color="auto" w:sz="4" w:space="0"/>
              <w:bottom w:val="single" w:color="auto" w:sz="4" w:space="0"/>
              <w:right w:val="single" w:color="auto" w:sz="4" w:space="0"/>
            </w:tcBorders>
            <w:noWrap/>
          </w:tcPr>
          <w:p w14:paraId="1AA8F0AE">
            <w:pPr>
              <w:widowControl/>
              <w:rPr>
                <w:rFonts w:ascii="仿宋_GB2312" w:eastAsia="仿宋_GB2312" w:cs="宋体" w:hAnsiTheme="minorEastAsia"/>
                <w:color w:val="000000"/>
                <w:kern w:val="0"/>
                <w:sz w:val="24"/>
              </w:rPr>
            </w:pPr>
            <w:r>
              <w:rPr>
                <w:rFonts w:hint="eastAsia" w:ascii="仿宋_GB2312" w:eastAsia="仿宋_GB2312" w:cs="宋体" w:hAnsiTheme="minorEastAsia"/>
                <w:color w:val="000000"/>
                <w:kern w:val="0"/>
                <w:sz w:val="24"/>
              </w:rPr>
              <w:t>　</w:t>
            </w:r>
          </w:p>
        </w:tc>
        <w:tc>
          <w:tcPr>
            <w:tcW w:w="567" w:type="dxa"/>
            <w:tcBorders>
              <w:top w:val="single" w:color="auto" w:sz="4" w:space="0"/>
              <w:left w:val="single" w:color="auto" w:sz="4" w:space="0"/>
              <w:bottom w:val="single" w:color="auto" w:sz="4" w:space="0"/>
              <w:right w:val="single" w:color="auto" w:sz="4" w:space="0"/>
            </w:tcBorders>
            <w:noWrap/>
          </w:tcPr>
          <w:p w14:paraId="57DCB4DA">
            <w:pPr>
              <w:widowControl/>
              <w:rPr>
                <w:rFonts w:ascii="仿宋_GB2312" w:eastAsia="仿宋_GB2312" w:cs="宋体" w:hAnsiTheme="minorEastAsia"/>
                <w:color w:val="000000"/>
                <w:kern w:val="0"/>
                <w:sz w:val="24"/>
              </w:rPr>
            </w:pPr>
            <w:r>
              <w:rPr>
                <w:rFonts w:hint="eastAsia" w:ascii="仿宋_GB2312" w:eastAsia="仿宋_GB2312" w:cs="宋体" w:hAnsiTheme="minorEastAsia"/>
                <w:color w:val="000000"/>
                <w:kern w:val="0"/>
                <w:sz w:val="24"/>
              </w:rPr>
              <w:t>　</w:t>
            </w:r>
          </w:p>
        </w:tc>
        <w:tc>
          <w:tcPr>
            <w:tcW w:w="1417" w:type="dxa"/>
            <w:tcBorders>
              <w:top w:val="single" w:color="auto" w:sz="4" w:space="0"/>
              <w:left w:val="single" w:color="auto" w:sz="4" w:space="0"/>
              <w:bottom w:val="single" w:color="auto" w:sz="4" w:space="0"/>
              <w:right w:val="single" w:color="auto" w:sz="4" w:space="0"/>
            </w:tcBorders>
            <w:noWrap/>
          </w:tcPr>
          <w:p w14:paraId="11BBE25F">
            <w:pPr>
              <w:widowControl/>
              <w:rPr>
                <w:rFonts w:ascii="仿宋_GB2312" w:eastAsia="仿宋_GB2312" w:cs="宋体" w:hAnsiTheme="minorEastAsia"/>
                <w:color w:val="000000"/>
                <w:kern w:val="0"/>
                <w:sz w:val="24"/>
              </w:rPr>
            </w:pPr>
            <w:r>
              <w:rPr>
                <w:rFonts w:hint="eastAsia" w:ascii="仿宋_GB2312" w:eastAsia="仿宋_GB2312" w:cs="宋体" w:hAnsiTheme="minorEastAsia"/>
                <w:color w:val="000000"/>
                <w:kern w:val="0"/>
                <w:sz w:val="24"/>
              </w:rPr>
              <w:t>　</w:t>
            </w:r>
          </w:p>
        </w:tc>
        <w:tc>
          <w:tcPr>
            <w:tcW w:w="1418" w:type="dxa"/>
            <w:tcBorders>
              <w:top w:val="single" w:color="auto" w:sz="4" w:space="0"/>
              <w:left w:val="single" w:color="auto" w:sz="4" w:space="0"/>
              <w:bottom w:val="single" w:color="auto" w:sz="4" w:space="0"/>
              <w:right w:val="single" w:color="auto" w:sz="4" w:space="0"/>
            </w:tcBorders>
          </w:tcPr>
          <w:p w14:paraId="1C55483A">
            <w:pPr>
              <w:widowControl/>
              <w:rPr>
                <w:rFonts w:ascii="仿宋_GB2312" w:eastAsia="仿宋_GB2312" w:cs="宋体" w:hAnsiTheme="minorEastAsia"/>
                <w:color w:val="000000"/>
                <w:kern w:val="0"/>
                <w:sz w:val="24"/>
              </w:rPr>
            </w:pPr>
          </w:p>
        </w:tc>
        <w:tc>
          <w:tcPr>
            <w:tcW w:w="1843" w:type="dxa"/>
            <w:tcBorders>
              <w:top w:val="single" w:color="auto" w:sz="4" w:space="0"/>
              <w:left w:val="single" w:color="auto" w:sz="4" w:space="0"/>
              <w:bottom w:val="single" w:color="auto" w:sz="4" w:space="0"/>
              <w:right w:val="single" w:color="auto" w:sz="4" w:space="0"/>
            </w:tcBorders>
          </w:tcPr>
          <w:p w14:paraId="3B11422E">
            <w:pPr>
              <w:widowControl/>
              <w:rPr>
                <w:rFonts w:ascii="仿宋_GB2312" w:eastAsia="仿宋_GB2312" w:cs="宋体" w:hAnsiTheme="minorEastAsia"/>
                <w:color w:val="000000"/>
                <w:kern w:val="0"/>
                <w:sz w:val="24"/>
              </w:rPr>
            </w:pPr>
          </w:p>
        </w:tc>
        <w:tc>
          <w:tcPr>
            <w:tcW w:w="1275" w:type="dxa"/>
            <w:tcBorders>
              <w:top w:val="single" w:color="auto" w:sz="4" w:space="0"/>
              <w:left w:val="single" w:color="auto" w:sz="4" w:space="0"/>
              <w:bottom w:val="single" w:color="auto" w:sz="4" w:space="0"/>
              <w:right w:val="single" w:color="auto" w:sz="4" w:space="0"/>
            </w:tcBorders>
            <w:noWrap/>
          </w:tcPr>
          <w:p w14:paraId="73EF5242">
            <w:pPr>
              <w:widowControl/>
              <w:rPr>
                <w:rFonts w:ascii="仿宋_GB2312" w:eastAsia="仿宋_GB2312" w:cs="宋体" w:hAnsiTheme="minorEastAsia"/>
                <w:color w:val="000000"/>
                <w:kern w:val="0"/>
                <w:sz w:val="24"/>
              </w:rPr>
            </w:pPr>
          </w:p>
        </w:tc>
        <w:tc>
          <w:tcPr>
            <w:tcW w:w="1276" w:type="dxa"/>
            <w:tcBorders>
              <w:top w:val="single" w:color="auto" w:sz="4" w:space="0"/>
              <w:left w:val="single" w:color="auto" w:sz="4" w:space="0"/>
              <w:bottom w:val="single" w:color="auto" w:sz="4" w:space="0"/>
              <w:right w:val="single" w:color="auto" w:sz="4" w:space="0"/>
            </w:tcBorders>
          </w:tcPr>
          <w:p w14:paraId="08EB81FD">
            <w:pPr>
              <w:rPr>
                <w:rFonts w:ascii="仿宋_GB2312" w:eastAsia="仿宋_GB2312" w:cs="宋体" w:hAnsiTheme="minorEastAsia"/>
                <w:color w:val="000000"/>
                <w:kern w:val="0"/>
                <w:sz w:val="24"/>
              </w:rPr>
            </w:pPr>
            <w:r>
              <w:rPr>
                <w:rFonts w:hint="eastAsia" w:ascii="仿宋_GB2312" w:eastAsia="仿宋_GB2312" w:cs="宋体" w:hAnsiTheme="minorEastAsia"/>
                <w:color w:val="000000"/>
                <w:kern w:val="0"/>
                <w:sz w:val="24"/>
              </w:rPr>
              <w:t>　</w:t>
            </w:r>
          </w:p>
        </w:tc>
        <w:tc>
          <w:tcPr>
            <w:tcW w:w="718" w:type="dxa"/>
            <w:tcBorders>
              <w:top w:val="single" w:color="auto" w:sz="4" w:space="0"/>
              <w:left w:val="single" w:color="auto" w:sz="4" w:space="0"/>
              <w:bottom w:val="single" w:color="auto" w:sz="4" w:space="0"/>
              <w:right w:val="single" w:color="auto" w:sz="4" w:space="0"/>
            </w:tcBorders>
          </w:tcPr>
          <w:p w14:paraId="00F0BC1D">
            <w:pPr>
              <w:rPr>
                <w:rFonts w:ascii="仿宋_GB2312" w:eastAsia="仿宋_GB2312" w:cs="宋体" w:hAnsiTheme="minorEastAsia"/>
                <w:color w:val="000000"/>
                <w:kern w:val="0"/>
                <w:sz w:val="24"/>
              </w:rPr>
            </w:pPr>
          </w:p>
        </w:tc>
        <w:tc>
          <w:tcPr>
            <w:tcW w:w="1210" w:type="dxa"/>
            <w:tcBorders>
              <w:top w:val="single" w:color="auto" w:sz="4" w:space="0"/>
              <w:left w:val="single" w:color="auto" w:sz="4" w:space="0"/>
              <w:bottom w:val="single" w:color="auto" w:sz="4" w:space="0"/>
              <w:right w:val="single" w:color="auto" w:sz="4" w:space="0"/>
            </w:tcBorders>
          </w:tcPr>
          <w:p w14:paraId="22B7E728">
            <w:pPr>
              <w:rPr>
                <w:rFonts w:ascii="仿宋_GB2312" w:eastAsia="仿宋_GB2312" w:cs="宋体" w:hAnsiTheme="minorEastAsia"/>
                <w:color w:val="000000"/>
                <w:kern w:val="0"/>
                <w:sz w:val="24"/>
              </w:rPr>
            </w:pPr>
          </w:p>
        </w:tc>
        <w:tc>
          <w:tcPr>
            <w:tcW w:w="1192" w:type="dxa"/>
            <w:tcBorders>
              <w:top w:val="single" w:color="auto" w:sz="4" w:space="0"/>
              <w:left w:val="single" w:color="auto" w:sz="4" w:space="0"/>
              <w:bottom w:val="single" w:color="auto" w:sz="4" w:space="0"/>
              <w:right w:val="single" w:color="auto" w:sz="4" w:space="0"/>
            </w:tcBorders>
          </w:tcPr>
          <w:p w14:paraId="647A8112">
            <w:pPr>
              <w:rPr>
                <w:rFonts w:ascii="仿宋_GB2312" w:eastAsia="仿宋_GB2312" w:cs="宋体" w:hAnsiTheme="minorEastAsia"/>
                <w:color w:val="000000"/>
                <w:kern w:val="0"/>
                <w:sz w:val="24"/>
              </w:rPr>
            </w:pPr>
          </w:p>
        </w:tc>
        <w:tc>
          <w:tcPr>
            <w:tcW w:w="1416" w:type="dxa"/>
            <w:tcBorders>
              <w:top w:val="single" w:color="auto" w:sz="4" w:space="0"/>
              <w:left w:val="single" w:color="auto" w:sz="4" w:space="0"/>
              <w:bottom w:val="single" w:color="auto" w:sz="4" w:space="0"/>
              <w:right w:val="single" w:color="auto" w:sz="4" w:space="0"/>
            </w:tcBorders>
          </w:tcPr>
          <w:p w14:paraId="69FFC8A9">
            <w:pPr>
              <w:rPr>
                <w:rFonts w:ascii="仿宋_GB2312" w:eastAsia="仿宋_GB2312" w:cs="宋体" w:hAnsiTheme="minorEastAsia"/>
                <w:color w:val="000000"/>
                <w:kern w:val="0"/>
                <w:sz w:val="24"/>
              </w:rPr>
            </w:pPr>
          </w:p>
        </w:tc>
      </w:tr>
      <w:tr w14:paraId="2298F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535" w:type="dxa"/>
            <w:tcBorders>
              <w:top w:val="single" w:color="auto" w:sz="4" w:space="0"/>
              <w:left w:val="single" w:color="auto" w:sz="4" w:space="0"/>
              <w:bottom w:val="single" w:color="auto" w:sz="4" w:space="0"/>
              <w:right w:val="single" w:color="auto" w:sz="4" w:space="0"/>
            </w:tcBorders>
            <w:noWrap/>
            <w:vAlign w:val="center"/>
          </w:tcPr>
          <w:p w14:paraId="22930A37">
            <w:pPr>
              <w:widowControl/>
              <w:jc w:val="center"/>
              <w:rPr>
                <w:rFonts w:ascii="仿宋_GB2312" w:eastAsia="仿宋_GB2312" w:cs="宋体" w:hAnsiTheme="minorEastAsia"/>
                <w:color w:val="000000"/>
                <w:kern w:val="0"/>
                <w:sz w:val="24"/>
              </w:rPr>
            </w:pPr>
            <w:r>
              <w:rPr>
                <w:rFonts w:hint="eastAsia" w:ascii="仿宋_GB2312" w:eastAsia="仿宋_GB2312" w:cs="宋体" w:hAnsiTheme="minorEastAsia"/>
                <w:color w:val="000000"/>
                <w:kern w:val="0"/>
                <w:sz w:val="24"/>
              </w:rPr>
              <w:t>5</w:t>
            </w:r>
          </w:p>
        </w:tc>
        <w:tc>
          <w:tcPr>
            <w:tcW w:w="991" w:type="dxa"/>
            <w:tcBorders>
              <w:top w:val="single" w:color="auto" w:sz="4" w:space="0"/>
              <w:left w:val="single" w:color="auto" w:sz="4" w:space="0"/>
              <w:bottom w:val="single" w:color="auto" w:sz="4" w:space="0"/>
              <w:right w:val="single" w:color="auto" w:sz="4" w:space="0"/>
            </w:tcBorders>
            <w:noWrap/>
          </w:tcPr>
          <w:p w14:paraId="589DD02A">
            <w:pPr>
              <w:widowControl/>
              <w:rPr>
                <w:rFonts w:ascii="仿宋_GB2312" w:eastAsia="仿宋_GB2312" w:cs="宋体" w:hAnsiTheme="minorEastAsia"/>
                <w:color w:val="000000"/>
                <w:kern w:val="0"/>
                <w:sz w:val="24"/>
              </w:rPr>
            </w:pPr>
            <w:r>
              <w:rPr>
                <w:rFonts w:hint="eastAsia" w:ascii="仿宋_GB2312" w:eastAsia="仿宋_GB2312" w:cs="宋体" w:hAnsiTheme="minorEastAsia"/>
                <w:color w:val="000000"/>
                <w:kern w:val="0"/>
                <w:sz w:val="24"/>
              </w:rPr>
              <w:t>　</w:t>
            </w:r>
          </w:p>
        </w:tc>
        <w:tc>
          <w:tcPr>
            <w:tcW w:w="567" w:type="dxa"/>
            <w:tcBorders>
              <w:top w:val="single" w:color="auto" w:sz="4" w:space="0"/>
              <w:left w:val="single" w:color="auto" w:sz="4" w:space="0"/>
              <w:bottom w:val="single" w:color="auto" w:sz="4" w:space="0"/>
              <w:right w:val="single" w:color="auto" w:sz="4" w:space="0"/>
            </w:tcBorders>
            <w:noWrap/>
          </w:tcPr>
          <w:p w14:paraId="775AEB46">
            <w:pPr>
              <w:widowControl/>
              <w:rPr>
                <w:rFonts w:ascii="仿宋_GB2312" w:eastAsia="仿宋_GB2312" w:cs="宋体" w:hAnsiTheme="minorEastAsia"/>
                <w:color w:val="000000"/>
                <w:kern w:val="0"/>
                <w:sz w:val="24"/>
              </w:rPr>
            </w:pPr>
            <w:r>
              <w:rPr>
                <w:rFonts w:hint="eastAsia" w:ascii="仿宋_GB2312" w:eastAsia="仿宋_GB2312" w:cs="宋体" w:hAnsiTheme="minorEastAsia"/>
                <w:color w:val="000000"/>
                <w:kern w:val="0"/>
                <w:sz w:val="24"/>
              </w:rPr>
              <w:t>　</w:t>
            </w:r>
          </w:p>
        </w:tc>
        <w:tc>
          <w:tcPr>
            <w:tcW w:w="1417" w:type="dxa"/>
            <w:tcBorders>
              <w:top w:val="single" w:color="auto" w:sz="4" w:space="0"/>
              <w:left w:val="single" w:color="auto" w:sz="4" w:space="0"/>
              <w:bottom w:val="single" w:color="auto" w:sz="4" w:space="0"/>
              <w:right w:val="single" w:color="auto" w:sz="4" w:space="0"/>
            </w:tcBorders>
            <w:noWrap/>
          </w:tcPr>
          <w:p w14:paraId="1FD0A934">
            <w:pPr>
              <w:widowControl/>
              <w:rPr>
                <w:rFonts w:ascii="仿宋_GB2312" w:eastAsia="仿宋_GB2312" w:cs="宋体" w:hAnsiTheme="minorEastAsia"/>
                <w:color w:val="000000"/>
                <w:kern w:val="0"/>
                <w:sz w:val="24"/>
              </w:rPr>
            </w:pPr>
            <w:r>
              <w:rPr>
                <w:rFonts w:hint="eastAsia" w:ascii="仿宋_GB2312" w:eastAsia="仿宋_GB2312" w:cs="宋体" w:hAnsiTheme="minorEastAsia"/>
                <w:color w:val="000000"/>
                <w:kern w:val="0"/>
                <w:sz w:val="24"/>
              </w:rPr>
              <w:t>　</w:t>
            </w:r>
          </w:p>
        </w:tc>
        <w:tc>
          <w:tcPr>
            <w:tcW w:w="1418" w:type="dxa"/>
            <w:tcBorders>
              <w:top w:val="single" w:color="auto" w:sz="4" w:space="0"/>
              <w:left w:val="single" w:color="auto" w:sz="4" w:space="0"/>
              <w:bottom w:val="single" w:color="auto" w:sz="4" w:space="0"/>
              <w:right w:val="single" w:color="auto" w:sz="4" w:space="0"/>
            </w:tcBorders>
          </w:tcPr>
          <w:p w14:paraId="27B661EE">
            <w:pPr>
              <w:widowControl/>
              <w:rPr>
                <w:rFonts w:ascii="仿宋_GB2312" w:eastAsia="仿宋_GB2312" w:cs="宋体" w:hAnsiTheme="minorEastAsia"/>
                <w:color w:val="000000"/>
                <w:kern w:val="0"/>
                <w:sz w:val="24"/>
              </w:rPr>
            </w:pPr>
          </w:p>
        </w:tc>
        <w:tc>
          <w:tcPr>
            <w:tcW w:w="1843" w:type="dxa"/>
            <w:tcBorders>
              <w:top w:val="single" w:color="auto" w:sz="4" w:space="0"/>
              <w:left w:val="single" w:color="auto" w:sz="4" w:space="0"/>
              <w:bottom w:val="single" w:color="auto" w:sz="4" w:space="0"/>
              <w:right w:val="single" w:color="auto" w:sz="4" w:space="0"/>
            </w:tcBorders>
          </w:tcPr>
          <w:p w14:paraId="471379F5">
            <w:pPr>
              <w:widowControl/>
              <w:rPr>
                <w:rFonts w:ascii="仿宋_GB2312" w:eastAsia="仿宋_GB2312" w:cs="宋体" w:hAnsiTheme="minorEastAsia"/>
                <w:color w:val="000000"/>
                <w:kern w:val="0"/>
                <w:sz w:val="24"/>
              </w:rPr>
            </w:pPr>
          </w:p>
        </w:tc>
        <w:tc>
          <w:tcPr>
            <w:tcW w:w="1275" w:type="dxa"/>
            <w:tcBorders>
              <w:top w:val="single" w:color="auto" w:sz="4" w:space="0"/>
              <w:left w:val="single" w:color="auto" w:sz="4" w:space="0"/>
              <w:bottom w:val="single" w:color="auto" w:sz="4" w:space="0"/>
              <w:right w:val="single" w:color="auto" w:sz="4" w:space="0"/>
            </w:tcBorders>
            <w:noWrap/>
          </w:tcPr>
          <w:p w14:paraId="36162D31">
            <w:pPr>
              <w:widowControl/>
              <w:rPr>
                <w:rFonts w:ascii="仿宋_GB2312" w:eastAsia="仿宋_GB2312" w:cs="宋体" w:hAnsiTheme="minorEastAsia"/>
                <w:color w:val="000000"/>
                <w:kern w:val="0"/>
                <w:sz w:val="24"/>
              </w:rPr>
            </w:pPr>
          </w:p>
        </w:tc>
        <w:tc>
          <w:tcPr>
            <w:tcW w:w="1276" w:type="dxa"/>
            <w:tcBorders>
              <w:top w:val="single" w:color="auto" w:sz="4" w:space="0"/>
              <w:left w:val="single" w:color="auto" w:sz="4" w:space="0"/>
              <w:bottom w:val="single" w:color="auto" w:sz="4" w:space="0"/>
              <w:right w:val="single" w:color="auto" w:sz="4" w:space="0"/>
            </w:tcBorders>
          </w:tcPr>
          <w:p w14:paraId="6FABD7F2">
            <w:pPr>
              <w:rPr>
                <w:rFonts w:ascii="仿宋_GB2312" w:eastAsia="仿宋_GB2312" w:cs="宋体" w:hAnsiTheme="minorEastAsia"/>
                <w:color w:val="000000"/>
                <w:kern w:val="0"/>
                <w:sz w:val="24"/>
              </w:rPr>
            </w:pPr>
            <w:r>
              <w:rPr>
                <w:rFonts w:hint="eastAsia" w:ascii="仿宋_GB2312" w:eastAsia="仿宋_GB2312" w:cs="宋体" w:hAnsiTheme="minorEastAsia"/>
                <w:color w:val="000000"/>
                <w:kern w:val="0"/>
                <w:sz w:val="24"/>
              </w:rPr>
              <w:t>　</w:t>
            </w:r>
          </w:p>
        </w:tc>
        <w:tc>
          <w:tcPr>
            <w:tcW w:w="718" w:type="dxa"/>
            <w:tcBorders>
              <w:top w:val="single" w:color="auto" w:sz="4" w:space="0"/>
              <w:left w:val="single" w:color="auto" w:sz="4" w:space="0"/>
              <w:bottom w:val="single" w:color="auto" w:sz="4" w:space="0"/>
              <w:right w:val="single" w:color="auto" w:sz="4" w:space="0"/>
            </w:tcBorders>
          </w:tcPr>
          <w:p w14:paraId="04C20AB9">
            <w:pPr>
              <w:rPr>
                <w:rFonts w:ascii="仿宋_GB2312" w:eastAsia="仿宋_GB2312" w:cs="宋体" w:hAnsiTheme="minorEastAsia"/>
                <w:color w:val="000000"/>
                <w:kern w:val="0"/>
                <w:sz w:val="24"/>
              </w:rPr>
            </w:pPr>
          </w:p>
        </w:tc>
        <w:tc>
          <w:tcPr>
            <w:tcW w:w="1210" w:type="dxa"/>
            <w:tcBorders>
              <w:top w:val="single" w:color="auto" w:sz="4" w:space="0"/>
              <w:left w:val="single" w:color="auto" w:sz="4" w:space="0"/>
              <w:bottom w:val="single" w:color="auto" w:sz="4" w:space="0"/>
              <w:right w:val="single" w:color="auto" w:sz="4" w:space="0"/>
            </w:tcBorders>
          </w:tcPr>
          <w:p w14:paraId="43D25752">
            <w:pPr>
              <w:rPr>
                <w:rFonts w:ascii="仿宋_GB2312" w:eastAsia="仿宋_GB2312" w:cs="宋体" w:hAnsiTheme="minorEastAsia"/>
                <w:color w:val="000000"/>
                <w:kern w:val="0"/>
                <w:sz w:val="24"/>
              </w:rPr>
            </w:pPr>
          </w:p>
        </w:tc>
        <w:tc>
          <w:tcPr>
            <w:tcW w:w="1192" w:type="dxa"/>
            <w:tcBorders>
              <w:top w:val="single" w:color="auto" w:sz="4" w:space="0"/>
              <w:left w:val="single" w:color="auto" w:sz="4" w:space="0"/>
              <w:bottom w:val="single" w:color="auto" w:sz="4" w:space="0"/>
              <w:right w:val="single" w:color="auto" w:sz="4" w:space="0"/>
            </w:tcBorders>
          </w:tcPr>
          <w:p w14:paraId="6DEB0761">
            <w:pPr>
              <w:rPr>
                <w:rFonts w:ascii="仿宋_GB2312" w:eastAsia="仿宋_GB2312" w:cs="宋体" w:hAnsiTheme="minorEastAsia"/>
                <w:color w:val="000000"/>
                <w:kern w:val="0"/>
                <w:sz w:val="24"/>
              </w:rPr>
            </w:pPr>
          </w:p>
        </w:tc>
        <w:tc>
          <w:tcPr>
            <w:tcW w:w="1416" w:type="dxa"/>
            <w:tcBorders>
              <w:top w:val="single" w:color="auto" w:sz="4" w:space="0"/>
              <w:left w:val="single" w:color="auto" w:sz="4" w:space="0"/>
              <w:bottom w:val="single" w:color="auto" w:sz="4" w:space="0"/>
              <w:right w:val="single" w:color="auto" w:sz="4" w:space="0"/>
            </w:tcBorders>
          </w:tcPr>
          <w:p w14:paraId="502935EE">
            <w:pPr>
              <w:rPr>
                <w:rFonts w:ascii="仿宋_GB2312" w:eastAsia="仿宋_GB2312" w:cs="宋体" w:hAnsiTheme="minorEastAsia"/>
                <w:color w:val="000000"/>
                <w:kern w:val="0"/>
                <w:sz w:val="24"/>
              </w:rPr>
            </w:pPr>
          </w:p>
        </w:tc>
      </w:tr>
      <w:tr w14:paraId="60A6A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535" w:type="dxa"/>
            <w:tcBorders>
              <w:top w:val="single" w:color="auto" w:sz="4" w:space="0"/>
              <w:left w:val="single" w:color="auto" w:sz="4" w:space="0"/>
              <w:bottom w:val="single" w:color="auto" w:sz="4" w:space="0"/>
              <w:right w:val="single" w:color="auto" w:sz="4" w:space="0"/>
            </w:tcBorders>
            <w:noWrap/>
            <w:vAlign w:val="center"/>
          </w:tcPr>
          <w:p w14:paraId="1ACDA3FE">
            <w:pPr>
              <w:widowControl/>
              <w:jc w:val="center"/>
              <w:rPr>
                <w:rFonts w:ascii="仿宋_GB2312" w:eastAsia="仿宋_GB2312" w:cs="宋体" w:hAnsiTheme="minorEastAsia"/>
                <w:color w:val="000000"/>
                <w:kern w:val="0"/>
                <w:sz w:val="24"/>
              </w:rPr>
            </w:pPr>
            <w:r>
              <w:rPr>
                <w:rFonts w:hint="eastAsia" w:ascii="仿宋_GB2312" w:eastAsia="仿宋_GB2312" w:cs="宋体" w:hAnsiTheme="minorEastAsia"/>
                <w:color w:val="000000"/>
                <w:kern w:val="0"/>
                <w:sz w:val="24"/>
              </w:rPr>
              <w:t>6</w:t>
            </w:r>
          </w:p>
        </w:tc>
        <w:tc>
          <w:tcPr>
            <w:tcW w:w="991" w:type="dxa"/>
            <w:tcBorders>
              <w:top w:val="single" w:color="auto" w:sz="4" w:space="0"/>
              <w:left w:val="single" w:color="auto" w:sz="4" w:space="0"/>
              <w:bottom w:val="single" w:color="auto" w:sz="4" w:space="0"/>
              <w:right w:val="single" w:color="auto" w:sz="4" w:space="0"/>
            </w:tcBorders>
            <w:noWrap/>
          </w:tcPr>
          <w:p w14:paraId="7F312704">
            <w:pPr>
              <w:widowControl/>
              <w:rPr>
                <w:rFonts w:ascii="仿宋_GB2312" w:eastAsia="仿宋_GB2312" w:cs="宋体" w:hAnsiTheme="minorEastAsia"/>
                <w:color w:val="000000"/>
                <w:kern w:val="0"/>
                <w:sz w:val="24"/>
              </w:rPr>
            </w:pPr>
            <w:r>
              <w:rPr>
                <w:rFonts w:hint="eastAsia" w:ascii="仿宋_GB2312" w:eastAsia="仿宋_GB2312" w:cs="宋体" w:hAnsiTheme="minorEastAsia"/>
                <w:color w:val="000000"/>
                <w:kern w:val="0"/>
                <w:sz w:val="24"/>
              </w:rPr>
              <w:t>　</w:t>
            </w:r>
          </w:p>
        </w:tc>
        <w:tc>
          <w:tcPr>
            <w:tcW w:w="567" w:type="dxa"/>
            <w:tcBorders>
              <w:top w:val="single" w:color="auto" w:sz="4" w:space="0"/>
              <w:left w:val="single" w:color="auto" w:sz="4" w:space="0"/>
              <w:bottom w:val="single" w:color="auto" w:sz="4" w:space="0"/>
              <w:right w:val="single" w:color="auto" w:sz="4" w:space="0"/>
            </w:tcBorders>
            <w:noWrap/>
          </w:tcPr>
          <w:p w14:paraId="431917EC">
            <w:pPr>
              <w:widowControl/>
              <w:rPr>
                <w:rFonts w:ascii="仿宋_GB2312" w:eastAsia="仿宋_GB2312" w:cs="宋体" w:hAnsiTheme="minorEastAsia"/>
                <w:color w:val="000000"/>
                <w:kern w:val="0"/>
                <w:sz w:val="24"/>
              </w:rPr>
            </w:pPr>
            <w:r>
              <w:rPr>
                <w:rFonts w:hint="eastAsia" w:ascii="仿宋_GB2312" w:eastAsia="仿宋_GB2312" w:cs="宋体" w:hAnsiTheme="minorEastAsia"/>
                <w:color w:val="000000"/>
                <w:kern w:val="0"/>
                <w:sz w:val="24"/>
              </w:rPr>
              <w:t>　</w:t>
            </w:r>
          </w:p>
        </w:tc>
        <w:tc>
          <w:tcPr>
            <w:tcW w:w="1417" w:type="dxa"/>
            <w:tcBorders>
              <w:top w:val="single" w:color="auto" w:sz="4" w:space="0"/>
              <w:left w:val="single" w:color="auto" w:sz="4" w:space="0"/>
              <w:bottom w:val="single" w:color="auto" w:sz="4" w:space="0"/>
              <w:right w:val="single" w:color="auto" w:sz="4" w:space="0"/>
            </w:tcBorders>
            <w:noWrap/>
          </w:tcPr>
          <w:p w14:paraId="0B01DA23">
            <w:pPr>
              <w:widowControl/>
              <w:rPr>
                <w:rFonts w:ascii="仿宋_GB2312" w:eastAsia="仿宋_GB2312" w:cs="宋体" w:hAnsiTheme="minorEastAsia"/>
                <w:color w:val="000000"/>
                <w:kern w:val="0"/>
                <w:sz w:val="24"/>
              </w:rPr>
            </w:pPr>
            <w:r>
              <w:rPr>
                <w:rFonts w:hint="eastAsia" w:ascii="仿宋_GB2312" w:eastAsia="仿宋_GB2312" w:cs="宋体" w:hAnsiTheme="minorEastAsia"/>
                <w:color w:val="000000"/>
                <w:kern w:val="0"/>
                <w:sz w:val="24"/>
              </w:rPr>
              <w:t>　</w:t>
            </w:r>
          </w:p>
        </w:tc>
        <w:tc>
          <w:tcPr>
            <w:tcW w:w="1418" w:type="dxa"/>
            <w:tcBorders>
              <w:top w:val="single" w:color="auto" w:sz="4" w:space="0"/>
              <w:left w:val="single" w:color="auto" w:sz="4" w:space="0"/>
              <w:bottom w:val="single" w:color="auto" w:sz="4" w:space="0"/>
              <w:right w:val="single" w:color="auto" w:sz="4" w:space="0"/>
            </w:tcBorders>
          </w:tcPr>
          <w:p w14:paraId="2920D858">
            <w:pPr>
              <w:widowControl/>
              <w:rPr>
                <w:rFonts w:ascii="仿宋_GB2312" w:eastAsia="仿宋_GB2312" w:cs="宋体" w:hAnsiTheme="minorEastAsia"/>
                <w:color w:val="000000"/>
                <w:kern w:val="0"/>
                <w:sz w:val="24"/>
              </w:rPr>
            </w:pPr>
          </w:p>
        </w:tc>
        <w:tc>
          <w:tcPr>
            <w:tcW w:w="1843" w:type="dxa"/>
            <w:tcBorders>
              <w:top w:val="single" w:color="auto" w:sz="4" w:space="0"/>
              <w:left w:val="single" w:color="auto" w:sz="4" w:space="0"/>
              <w:bottom w:val="single" w:color="auto" w:sz="4" w:space="0"/>
              <w:right w:val="single" w:color="auto" w:sz="4" w:space="0"/>
            </w:tcBorders>
          </w:tcPr>
          <w:p w14:paraId="128561BD">
            <w:pPr>
              <w:widowControl/>
              <w:rPr>
                <w:rFonts w:ascii="仿宋_GB2312" w:eastAsia="仿宋_GB2312" w:cs="宋体" w:hAnsiTheme="minorEastAsia"/>
                <w:color w:val="000000"/>
                <w:kern w:val="0"/>
                <w:sz w:val="24"/>
              </w:rPr>
            </w:pPr>
          </w:p>
        </w:tc>
        <w:tc>
          <w:tcPr>
            <w:tcW w:w="1275" w:type="dxa"/>
            <w:tcBorders>
              <w:top w:val="single" w:color="auto" w:sz="4" w:space="0"/>
              <w:left w:val="single" w:color="auto" w:sz="4" w:space="0"/>
              <w:bottom w:val="single" w:color="auto" w:sz="4" w:space="0"/>
              <w:right w:val="single" w:color="auto" w:sz="4" w:space="0"/>
            </w:tcBorders>
            <w:noWrap/>
          </w:tcPr>
          <w:p w14:paraId="5CF25C0F">
            <w:pPr>
              <w:widowControl/>
              <w:rPr>
                <w:rFonts w:ascii="仿宋_GB2312" w:eastAsia="仿宋_GB2312" w:cs="宋体" w:hAnsiTheme="minorEastAsia"/>
                <w:color w:val="000000"/>
                <w:kern w:val="0"/>
                <w:sz w:val="24"/>
              </w:rPr>
            </w:pPr>
          </w:p>
        </w:tc>
        <w:tc>
          <w:tcPr>
            <w:tcW w:w="1276" w:type="dxa"/>
            <w:tcBorders>
              <w:top w:val="single" w:color="auto" w:sz="4" w:space="0"/>
              <w:left w:val="single" w:color="auto" w:sz="4" w:space="0"/>
              <w:bottom w:val="single" w:color="auto" w:sz="4" w:space="0"/>
              <w:right w:val="single" w:color="auto" w:sz="4" w:space="0"/>
            </w:tcBorders>
          </w:tcPr>
          <w:p w14:paraId="6230906C">
            <w:pPr>
              <w:rPr>
                <w:rFonts w:ascii="仿宋_GB2312" w:eastAsia="仿宋_GB2312" w:cs="宋体" w:hAnsiTheme="minorEastAsia"/>
                <w:color w:val="000000"/>
                <w:kern w:val="0"/>
                <w:sz w:val="24"/>
              </w:rPr>
            </w:pPr>
            <w:r>
              <w:rPr>
                <w:rFonts w:hint="eastAsia" w:ascii="仿宋_GB2312" w:eastAsia="仿宋_GB2312" w:cs="宋体" w:hAnsiTheme="minorEastAsia"/>
                <w:color w:val="000000"/>
                <w:kern w:val="0"/>
                <w:sz w:val="24"/>
              </w:rPr>
              <w:t>　</w:t>
            </w:r>
          </w:p>
        </w:tc>
        <w:tc>
          <w:tcPr>
            <w:tcW w:w="718" w:type="dxa"/>
            <w:tcBorders>
              <w:top w:val="single" w:color="auto" w:sz="4" w:space="0"/>
              <w:left w:val="single" w:color="auto" w:sz="4" w:space="0"/>
              <w:bottom w:val="single" w:color="auto" w:sz="4" w:space="0"/>
              <w:right w:val="single" w:color="auto" w:sz="4" w:space="0"/>
            </w:tcBorders>
          </w:tcPr>
          <w:p w14:paraId="01740188">
            <w:pPr>
              <w:rPr>
                <w:rFonts w:ascii="仿宋_GB2312" w:eastAsia="仿宋_GB2312" w:cs="宋体" w:hAnsiTheme="minorEastAsia"/>
                <w:color w:val="000000"/>
                <w:kern w:val="0"/>
                <w:sz w:val="24"/>
              </w:rPr>
            </w:pPr>
          </w:p>
        </w:tc>
        <w:tc>
          <w:tcPr>
            <w:tcW w:w="1210" w:type="dxa"/>
            <w:tcBorders>
              <w:top w:val="single" w:color="auto" w:sz="4" w:space="0"/>
              <w:left w:val="single" w:color="auto" w:sz="4" w:space="0"/>
              <w:bottom w:val="single" w:color="auto" w:sz="4" w:space="0"/>
              <w:right w:val="single" w:color="auto" w:sz="4" w:space="0"/>
            </w:tcBorders>
          </w:tcPr>
          <w:p w14:paraId="7CBA8D49">
            <w:pPr>
              <w:rPr>
                <w:rFonts w:ascii="仿宋_GB2312" w:eastAsia="仿宋_GB2312" w:cs="宋体" w:hAnsiTheme="minorEastAsia"/>
                <w:color w:val="000000"/>
                <w:kern w:val="0"/>
                <w:sz w:val="24"/>
              </w:rPr>
            </w:pPr>
          </w:p>
        </w:tc>
        <w:tc>
          <w:tcPr>
            <w:tcW w:w="1192" w:type="dxa"/>
            <w:tcBorders>
              <w:top w:val="single" w:color="auto" w:sz="4" w:space="0"/>
              <w:left w:val="single" w:color="auto" w:sz="4" w:space="0"/>
              <w:bottom w:val="single" w:color="auto" w:sz="4" w:space="0"/>
              <w:right w:val="single" w:color="auto" w:sz="4" w:space="0"/>
            </w:tcBorders>
          </w:tcPr>
          <w:p w14:paraId="18AD2068">
            <w:pPr>
              <w:rPr>
                <w:rFonts w:ascii="仿宋_GB2312" w:eastAsia="仿宋_GB2312" w:cs="宋体" w:hAnsiTheme="minorEastAsia"/>
                <w:color w:val="000000"/>
                <w:kern w:val="0"/>
                <w:sz w:val="24"/>
              </w:rPr>
            </w:pPr>
          </w:p>
        </w:tc>
        <w:tc>
          <w:tcPr>
            <w:tcW w:w="1416" w:type="dxa"/>
            <w:tcBorders>
              <w:top w:val="single" w:color="auto" w:sz="4" w:space="0"/>
              <w:left w:val="single" w:color="auto" w:sz="4" w:space="0"/>
              <w:bottom w:val="single" w:color="auto" w:sz="4" w:space="0"/>
              <w:right w:val="single" w:color="auto" w:sz="4" w:space="0"/>
            </w:tcBorders>
          </w:tcPr>
          <w:p w14:paraId="3E4C091E">
            <w:pPr>
              <w:rPr>
                <w:rFonts w:ascii="仿宋_GB2312" w:eastAsia="仿宋_GB2312" w:cs="宋体" w:hAnsiTheme="minorEastAsia"/>
                <w:color w:val="000000"/>
                <w:kern w:val="0"/>
                <w:sz w:val="24"/>
              </w:rPr>
            </w:pPr>
          </w:p>
        </w:tc>
      </w:tr>
    </w:tbl>
    <w:p w14:paraId="2633BB43">
      <w:pPr>
        <w:spacing w:line="400" w:lineRule="exact"/>
        <w:jc w:val="left"/>
        <w:rPr>
          <w:rFonts w:ascii="仿宋_GB2312" w:eastAsia="仿宋_GB2312" w:hAnsiTheme="minorEastAsia"/>
          <w:sz w:val="24"/>
        </w:rPr>
      </w:pPr>
      <w:r>
        <w:rPr>
          <w:rFonts w:hint="eastAsia" w:ascii="仿宋_GB2312" w:eastAsia="仿宋_GB2312" w:hAnsiTheme="minorEastAsia"/>
          <w:sz w:val="24"/>
        </w:rPr>
        <w:t xml:space="preserve">鉴定医疗机构（盖章）：                                                                时间：      年     月    日 </w:t>
      </w:r>
    </w:p>
    <w:p w14:paraId="689DFF18">
      <w:pPr>
        <w:spacing w:line="400" w:lineRule="exact"/>
        <w:jc w:val="left"/>
        <w:rPr>
          <w:rFonts w:ascii="仿宋_GB2312" w:eastAsia="仿宋_GB2312" w:hAnsiTheme="minorEastAsia"/>
          <w:sz w:val="24"/>
        </w:rPr>
      </w:pPr>
      <w:r>
        <w:rPr>
          <w:rFonts w:hint="eastAsia" w:ascii="仿宋_GB2312" w:eastAsia="仿宋_GB2312" w:hAnsiTheme="minorEastAsia"/>
          <w:sz w:val="24"/>
        </w:rPr>
        <w:t xml:space="preserve">经办人：                                     联系方式：                       </w:t>
      </w:r>
    </w:p>
    <w:p w14:paraId="0A131F45">
      <w:pPr>
        <w:spacing w:line="400" w:lineRule="exact"/>
        <w:jc w:val="left"/>
        <w:rPr>
          <w:rFonts w:ascii="仿宋_GB2312" w:eastAsia="仿宋_GB2312" w:hAnsiTheme="minorEastAsia"/>
          <w:sz w:val="24"/>
        </w:rPr>
      </w:pPr>
      <w:r>
        <w:rPr>
          <w:rFonts w:hint="eastAsia" w:ascii="仿宋_GB2312" w:eastAsia="仿宋_GB2312" w:hAnsiTheme="minorEastAsia"/>
          <w:sz w:val="24"/>
        </w:rPr>
        <w:t>备注：1.定点医疗机构应按城乡居民和城镇职工参保类型分别填报。</w:t>
      </w:r>
    </w:p>
    <w:p w14:paraId="6BC4C1D0">
      <w:pPr>
        <w:rPr>
          <w:rFonts w:ascii="仿宋_GB2312" w:eastAsia="仿宋_GB2312" w:hAnsiTheme="minorEastAsia"/>
          <w:sz w:val="24"/>
        </w:rPr>
      </w:pPr>
      <w:r>
        <w:rPr>
          <w:rFonts w:hint="eastAsia"/>
        </w:rPr>
        <w:t xml:space="preserve">       2.</w:t>
      </w:r>
      <w:r>
        <w:rPr>
          <w:rFonts w:hint="eastAsia" w:ascii="仿宋_GB2312" w:eastAsia="仿宋_GB2312" w:hAnsiTheme="minorEastAsia"/>
          <w:sz w:val="24"/>
        </w:rPr>
        <w:t>本表一式两份，经医保经办机构审核盖章后留存一份、鉴定医疗机构留存一份。</w:t>
      </w:r>
    </w:p>
    <w:p w14:paraId="5AD1E652">
      <w:pPr>
        <w:rPr>
          <w:b/>
        </w:rPr>
      </w:pPr>
    </w:p>
    <w:p w14:paraId="5E092635">
      <w:pPr>
        <w:rPr>
          <w:b/>
        </w:rPr>
      </w:pPr>
    </w:p>
    <w:sectPr>
      <w:pgSz w:w="16838" w:h="11906" w:orient="landscape"/>
      <w:pgMar w:top="1587" w:right="1814" w:bottom="1587" w:left="1587" w:header="851" w:footer="992" w:gutter="0"/>
      <w:pgBorders>
        <w:top w:val="none" w:sz="0" w:space="0"/>
        <w:left w:val="none" w:sz="0" w:space="0"/>
        <w:bottom w:val="none" w:sz="0" w:space="0"/>
        <w:right w:val="none" w:sz="0" w:space="0"/>
      </w:pgBorders>
      <w:cols w:space="0" w:num="1"/>
      <w:docGrid w:type="lines" w:linePitch="323"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4B72E6">
    <w:pPr>
      <w:pStyle w:val="3"/>
    </w:pPr>
    <w: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902A662">
                          <w:pPr>
                            <w:pStyle w:val="3"/>
                            <w:rPr>
                              <w:rFonts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10</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14:paraId="5902A662">
                    <w:pPr>
                      <w:pStyle w:val="3"/>
                      <w:rPr>
                        <w:rFonts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10</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C7164AB"/>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14:paraId="6C7164AB"/>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61"/>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VkZTdjYmZhNDY1YjJmZGY5OGU1YjQxMzI3MWY2MzEifQ=="/>
  </w:docVars>
  <w:rsids>
    <w:rsidRoot w:val="0C314FC5"/>
    <w:rsid w:val="000462F8"/>
    <w:rsid w:val="00056F54"/>
    <w:rsid w:val="0006529F"/>
    <w:rsid w:val="000A41E6"/>
    <w:rsid w:val="001030D2"/>
    <w:rsid w:val="00152CA1"/>
    <w:rsid w:val="00164E44"/>
    <w:rsid w:val="00174436"/>
    <w:rsid w:val="00225471"/>
    <w:rsid w:val="00254169"/>
    <w:rsid w:val="0028551C"/>
    <w:rsid w:val="002939C5"/>
    <w:rsid w:val="002B71B7"/>
    <w:rsid w:val="003128C0"/>
    <w:rsid w:val="003573B5"/>
    <w:rsid w:val="003A19F8"/>
    <w:rsid w:val="003C61D9"/>
    <w:rsid w:val="003E1E30"/>
    <w:rsid w:val="00415AEE"/>
    <w:rsid w:val="00435506"/>
    <w:rsid w:val="004C2FE9"/>
    <w:rsid w:val="004F605B"/>
    <w:rsid w:val="00516353"/>
    <w:rsid w:val="0052191C"/>
    <w:rsid w:val="005D2FB3"/>
    <w:rsid w:val="006475E0"/>
    <w:rsid w:val="00670006"/>
    <w:rsid w:val="006A67A9"/>
    <w:rsid w:val="006E2730"/>
    <w:rsid w:val="006E3507"/>
    <w:rsid w:val="0074631E"/>
    <w:rsid w:val="007B5316"/>
    <w:rsid w:val="00830F68"/>
    <w:rsid w:val="00860F0B"/>
    <w:rsid w:val="008A0E4D"/>
    <w:rsid w:val="008C2A51"/>
    <w:rsid w:val="00953E25"/>
    <w:rsid w:val="009D13E0"/>
    <w:rsid w:val="009D2DF0"/>
    <w:rsid w:val="00A12BC6"/>
    <w:rsid w:val="00A13016"/>
    <w:rsid w:val="00A30FEE"/>
    <w:rsid w:val="00AC5526"/>
    <w:rsid w:val="00AD2D96"/>
    <w:rsid w:val="00AE400E"/>
    <w:rsid w:val="00C25362"/>
    <w:rsid w:val="00C730BE"/>
    <w:rsid w:val="00D74E99"/>
    <w:rsid w:val="00E210E9"/>
    <w:rsid w:val="00E473BC"/>
    <w:rsid w:val="00E67A8E"/>
    <w:rsid w:val="00EE1BEB"/>
    <w:rsid w:val="00F1174C"/>
    <w:rsid w:val="00F27BF5"/>
    <w:rsid w:val="00F82D73"/>
    <w:rsid w:val="00FA7DC8"/>
    <w:rsid w:val="00FB559E"/>
    <w:rsid w:val="00FC6699"/>
    <w:rsid w:val="00FD76E8"/>
    <w:rsid w:val="0200575E"/>
    <w:rsid w:val="022757CF"/>
    <w:rsid w:val="02C848FD"/>
    <w:rsid w:val="02EC5DF7"/>
    <w:rsid w:val="04FA0856"/>
    <w:rsid w:val="04FC3536"/>
    <w:rsid w:val="05B52917"/>
    <w:rsid w:val="07A501D4"/>
    <w:rsid w:val="09265BD5"/>
    <w:rsid w:val="096A118B"/>
    <w:rsid w:val="0C1534F5"/>
    <w:rsid w:val="0C2506CA"/>
    <w:rsid w:val="0C314FC5"/>
    <w:rsid w:val="0DC227BD"/>
    <w:rsid w:val="0ED12131"/>
    <w:rsid w:val="0FC91CB4"/>
    <w:rsid w:val="10A0144C"/>
    <w:rsid w:val="10D4492C"/>
    <w:rsid w:val="15310002"/>
    <w:rsid w:val="153E6C4B"/>
    <w:rsid w:val="162F66BC"/>
    <w:rsid w:val="195C76F5"/>
    <w:rsid w:val="1AEA7DCF"/>
    <w:rsid w:val="1B8A22F8"/>
    <w:rsid w:val="1BC23FF9"/>
    <w:rsid w:val="1D1676B1"/>
    <w:rsid w:val="1E3C64F5"/>
    <w:rsid w:val="1F122D30"/>
    <w:rsid w:val="1F6317DE"/>
    <w:rsid w:val="201254DB"/>
    <w:rsid w:val="211114E5"/>
    <w:rsid w:val="21921FAC"/>
    <w:rsid w:val="22C84EC9"/>
    <w:rsid w:val="25E261EC"/>
    <w:rsid w:val="26026503"/>
    <w:rsid w:val="26983CD0"/>
    <w:rsid w:val="26DD45A9"/>
    <w:rsid w:val="27962024"/>
    <w:rsid w:val="2C1B50B4"/>
    <w:rsid w:val="2CBF5318"/>
    <w:rsid w:val="2DC518B5"/>
    <w:rsid w:val="2FBF224E"/>
    <w:rsid w:val="30314FE0"/>
    <w:rsid w:val="31A07DCF"/>
    <w:rsid w:val="32644FA8"/>
    <w:rsid w:val="34520E62"/>
    <w:rsid w:val="35BB674E"/>
    <w:rsid w:val="37B00EE0"/>
    <w:rsid w:val="37BB12A1"/>
    <w:rsid w:val="37DD26DD"/>
    <w:rsid w:val="39A71821"/>
    <w:rsid w:val="3A6A181A"/>
    <w:rsid w:val="3A890986"/>
    <w:rsid w:val="3B1A194E"/>
    <w:rsid w:val="3F5278BC"/>
    <w:rsid w:val="3F955B7F"/>
    <w:rsid w:val="434B4CA9"/>
    <w:rsid w:val="45EF0E26"/>
    <w:rsid w:val="4860425D"/>
    <w:rsid w:val="48912668"/>
    <w:rsid w:val="48E21116"/>
    <w:rsid w:val="4ADA6C04"/>
    <w:rsid w:val="4CAC5CC3"/>
    <w:rsid w:val="4CF36DB3"/>
    <w:rsid w:val="4F087C42"/>
    <w:rsid w:val="505235F7"/>
    <w:rsid w:val="512A5408"/>
    <w:rsid w:val="530A54F1"/>
    <w:rsid w:val="54DD17F7"/>
    <w:rsid w:val="55E3469F"/>
    <w:rsid w:val="5620535D"/>
    <w:rsid w:val="56D73756"/>
    <w:rsid w:val="57A00704"/>
    <w:rsid w:val="580824E2"/>
    <w:rsid w:val="5827444F"/>
    <w:rsid w:val="599975CF"/>
    <w:rsid w:val="5A5534F6"/>
    <w:rsid w:val="5B212792"/>
    <w:rsid w:val="5D6764F3"/>
    <w:rsid w:val="5DE43EBA"/>
    <w:rsid w:val="5FBA7995"/>
    <w:rsid w:val="601E25DC"/>
    <w:rsid w:val="607466A0"/>
    <w:rsid w:val="608C6637"/>
    <w:rsid w:val="630E4B89"/>
    <w:rsid w:val="66B924A5"/>
    <w:rsid w:val="687E371C"/>
    <w:rsid w:val="688201CD"/>
    <w:rsid w:val="695157D0"/>
    <w:rsid w:val="69A022B3"/>
    <w:rsid w:val="69A27065"/>
    <w:rsid w:val="6B1F732E"/>
    <w:rsid w:val="6B516588"/>
    <w:rsid w:val="721927F8"/>
    <w:rsid w:val="721D261B"/>
    <w:rsid w:val="72301197"/>
    <w:rsid w:val="73E32F46"/>
    <w:rsid w:val="760659DA"/>
    <w:rsid w:val="769D4830"/>
    <w:rsid w:val="7ADE2C3C"/>
    <w:rsid w:val="7DFA6807"/>
    <w:rsid w:val="7F3177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4">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customStyle="1" w:styleId="2">
    <w:name w:val="Body Text Indent 21"/>
    <w:basedOn w:val="1"/>
    <w:next w:val="3"/>
    <w:qFormat/>
    <w:uiPriority w:val="0"/>
    <w:pPr>
      <w:spacing w:after="120" w:line="480" w:lineRule="auto"/>
      <w:ind w:left="420" w:leftChars="200"/>
    </w:p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annotation text"/>
    <w:basedOn w:val="1"/>
    <w:qFormat/>
    <w:uiPriority w:val="0"/>
    <w:pPr>
      <w:jc w:val="left"/>
    </w:pPr>
    <w:rPr>
      <w:szCs w:val="20"/>
    </w:rPr>
  </w:style>
  <w:style w:type="paragraph" w:styleId="5">
    <w:name w:val="Body Text"/>
    <w:basedOn w:val="1"/>
    <w:qFormat/>
    <w:uiPriority w:val="1"/>
    <w:pPr>
      <w:spacing w:after="120" w:line="276" w:lineRule="auto"/>
    </w:pPr>
    <w:rPr>
      <w:szCs w:val="22"/>
    </w:rPr>
  </w:style>
  <w:style w:type="paragraph" w:styleId="6">
    <w:name w:val="Body Text Indent"/>
    <w:basedOn w:val="1"/>
    <w:next w:val="5"/>
    <w:qFormat/>
    <w:uiPriority w:val="0"/>
    <w:pPr>
      <w:ind w:firstLine="600"/>
    </w:pPr>
    <w:rPr>
      <w:rFonts w:ascii="楷体_GB2312" w:hAnsi="楷体_GB2312"/>
    </w:rPr>
  </w:style>
  <w:style w:type="paragraph" w:styleId="7">
    <w:name w:val="Balloon Text"/>
    <w:basedOn w:val="1"/>
    <w:link w:val="19"/>
    <w:qFormat/>
    <w:uiPriority w:val="0"/>
    <w:rPr>
      <w:sz w:val="18"/>
      <w:szCs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9">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rPr>
  </w:style>
  <w:style w:type="paragraph" w:styleId="10">
    <w:name w:val="Normal (Web)"/>
    <w:basedOn w:val="1"/>
    <w:qFormat/>
    <w:uiPriority w:val="0"/>
    <w:pPr>
      <w:spacing w:before="100" w:beforeAutospacing="1" w:after="100" w:afterAutospacing="1"/>
      <w:jc w:val="left"/>
    </w:pPr>
    <w:rPr>
      <w:rFonts w:cs="Times New Roman"/>
      <w:kern w:val="0"/>
      <w:sz w:val="24"/>
    </w:rPr>
  </w:style>
  <w:style w:type="paragraph" w:styleId="11">
    <w:name w:val="Body Text First Indent"/>
    <w:basedOn w:val="5"/>
    <w:qFormat/>
    <w:uiPriority w:val="0"/>
    <w:pPr>
      <w:ind w:firstLine="420" w:firstLineChars="100"/>
    </w:pPr>
  </w:style>
  <w:style w:type="paragraph" w:styleId="12">
    <w:name w:val="Body Text First Indent 2"/>
    <w:basedOn w:val="6"/>
    <w:next w:val="11"/>
    <w:qFormat/>
    <w:uiPriority w:val="0"/>
    <w:pPr>
      <w:widowControl/>
      <w:ind w:firstLine="200"/>
      <w:jc w:val="left"/>
    </w:pPr>
    <w:rPr>
      <w:rFonts w:hAnsi="宋体"/>
      <w:kern w:val="0"/>
      <w:sz w:val="24"/>
      <w:szCs w:val="28"/>
    </w:rPr>
  </w:style>
  <w:style w:type="paragraph" w:customStyle="1" w:styleId="15">
    <w:name w:val="列出段落2"/>
    <w:basedOn w:val="1"/>
    <w:qFormat/>
    <w:uiPriority w:val="99"/>
    <w:pPr>
      <w:ind w:firstLine="420" w:firstLineChars="200"/>
    </w:pPr>
    <w:rPr>
      <w:szCs w:val="22"/>
    </w:rPr>
  </w:style>
  <w:style w:type="paragraph" w:customStyle="1" w:styleId="16">
    <w:name w:val="列出段落1"/>
    <w:basedOn w:val="1"/>
    <w:qFormat/>
    <w:uiPriority w:val="99"/>
    <w:pPr>
      <w:ind w:firstLine="420" w:firstLineChars="200"/>
    </w:pPr>
    <w:rPr>
      <w:szCs w:val="22"/>
    </w:rPr>
  </w:style>
  <w:style w:type="paragraph" w:styleId="17">
    <w:name w:val="List Paragraph"/>
    <w:basedOn w:val="1"/>
    <w:qFormat/>
    <w:uiPriority w:val="99"/>
    <w:pPr>
      <w:ind w:firstLine="420" w:firstLineChars="200"/>
    </w:pPr>
    <w:rPr>
      <w:szCs w:val="22"/>
    </w:rPr>
  </w:style>
  <w:style w:type="paragraph" w:customStyle="1" w:styleId="18">
    <w:name w:val="正文文本1"/>
    <w:basedOn w:val="1"/>
    <w:qFormat/>
    <w:uiPriority w:val="0"/>
    <w:pPr>
      <w:spacing w:line="310" w:lineRule="auto"/>
      <w:ind w:firstLine="360"/>
      <w:jc w:val="left"/>
    </w:pPr>
    <w:rPr>
      <w:rFonts w:ascii="宋体" w:hAnsi="宋体" w:cs="宋体"/>
      <w:color w:val="231F20"/>
      <w:sz w:val="18"/>
      <w:szCs w:val="18"/>
    </w:rPr>
  </w:style>
  <w:style w:type="character" w:customStyle="1" w:styleId="19">
    <w:name w:val="批注框文本 Char"/>
    <w:basedOn w:val="14"/>
    <w:link w:val="7"/>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58</Pages>
  <Words>10214</Words>
  <Characters>11674</Characters>
  <Lines>232</Lines>
  <Paragraphs>65</Paragraphs>
  <TotalTime>5</TotalTime>
  <ScaleCrop>false</ScaleCrop>
  <LinksUpToDate>false</LinksUpToDate>
  <CharactersWithSpaces>12227</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2024-08-09T08:20:00Z</dcterms:created>
  <dc:creator>Administrator</dc:creator>
  <cp:lastModifiedBy>Administrator</cp:lastModifiedBy>
  <cp:lastPrinted>2024-11-07T09:44:00Z</cp:lastPrinted>
  <dcterms:modified xsi:type="dcterms:W3CDTF">2024-12-09T08:59:01Z</dcterms:modified>
  <cp:revision>63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BE0A50C6BAD543CE813B5540FE8236B0_11</vt:lpwstr>
  </property>
</Properties>
</file>