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E80" w:rsidRDefault="004C6E80" w:rsidP="00815B06">
      <w:pPr>
        <w:tabs>
          <w:tab w:val="left" w:pos="6971"/>
        </w:tabs>
        <w:spacing w:line="560" w:lineRule="exact"/>
        <w:jc w:val="center"/>
        <w:rPr>
          <w:rFonts w:ascii="方正小标宋简体" w:eastAsia="方正小标宋简体" w:hAnsi="宋体"/>
          <w:b/>
          <w:bCs/>
          <w:sz w:val="36"/>
          <w:szCs w:val="36"/>
        </w:rPr>
      </w:pPr>
    </w:p>
    <w:p w:rsidR="00BA7CFD" w:rsidRDefault="00BA7CFD" w:rsidP="00815B06">
      <w:pPr>
        <w:tabs>
          <w:tab w:val="left" w:pos="6971"/>
        </w:tabs>
        <w:spacing w:line="560" w:lineRule="exact"/>
        <w:jc w:val="center"/>
        <w:rPr>
          <w:rFonts w:ascii="方正小标宋简体" w:eastAsia="方正小标宋简体" w:hAnsi="仿宋" w:cs="方正小标宋简体"/>
          <w:bCs/>
          <w:sz w:val="44"/>
          <w:szCs w:val="44"/>
        </w:rPr>
      </w:pPr>
      <w:r w:rsidRPr="00BA7CFD">
        <w:rPr>
          <w:rFonts w:ascii="方正小标宋简体" w:eastAsia="方正小标宋简体" w:hAnsi="仿宋" w:cs="方正小标宋简体" w:hint="eastAsia"/>
          <w:bCs/>
          <w:sz w:val="44"/>
          <w:szCs w:val="44"/>
        </w:rPr>
        <w:t>2025年张掖经济技术开发区</w:t>
      </w:r>
    </w:p>
    <w:p w:rsidR="004C6E80" w:rsidRPr="00BA7CFD" w:rsidRDefault="00BA7CFD" w:rsidP="00815B06">
      <w:pPr>
        <w:tabs>
          <w:tab w:val="left" w:pos="6971"/>
        </w:tabs>
        <w:spacing w:line="560" w:lineRule="exact"/>
        <w:jc w:val="center"/>
        <w:rPr>
          <w:rFonts w:ascii="方正小标宋简体" w:eastAsia="方正小标宋简体" w:hAnsi="仿宋"/>
          <w:bCs/>
          <w:sz w:val="44"/>
          <w:szCs w:val="44"/>
        </w:rPr>
      </w:pPr>
      <w:r w:rsidRPr="00BA7CFD">
        <w:rPr>
          <w:rFonts w:ascii="方正小标宋简体" w:eastAsia="方正小标宋简体" w:hAnsi="仿宋" w:cs="方正小标宋简体" w:hint="eastAsia"/>
          <w:bCs/>
          <w:sz w:val="44"/>
          <w:szCs w:val="44"/>
        </w:rPr>
        <w:t>预算（草案）</w:t>
      </w:r>
    </w:p>
    <w:p w:rsidR="004C6E80" w:rsidRDefault="004C6E80" w:rsidP="00815B06">
      <w:pPr>
        <w:spacing w:line="560" w:lineRule="exact"/>
        <w:rPr>
          <w:rFonts w:ascii="仿宋" w:eastAsia="仿宋" w:hAnsi="仿宋"/>
          <w:sz w:val="32"/>
          <w:szCs w:val="32"/>
        </w:rPr>
      </w:pPr>
    </w:p>
    <w:p w:rsidR="004C6E80" w:rsidRPr="00BA7CFD" w:rsidRDefault="00BA7CFD" w:rsidP="00815B06">
      <w:pPr>
        <w:pStyle w:val="a3"/>
        <w:spacing w:before="235" w:line="560" w:lineRule="exact"/>
        <w:ind w:right="30" w:firstLine="640"/>
        <w:rPr>
          <w:rFonts w:ascii="仿宋_GB2312" w:eastAsia="仿宋_GB2312" w:hAnsi="楷体" w:cs="仿宋_GB2312"/>
          <w:bCs/>
          <w:kern w:val="0"/>
          <w:sz w:val="32"/>
          <w:szCs w:val="32"/>
          <w:lang w:eastAsia="zh-CN"/>
        </w:rPr>
      </w:pPr>
      <w:r>
        <w:rPr>
          <w:rFonts w:ascii="仿宋_GB2312" w:eastAsia="仿宋_GB2312" w:hAnsi="仿宋_GB2312" w:cs="仿宋_GB2312" w:hint="eastAsia"/>
          <w:sz w:val="32"/>
          <w:szCs w:val="32"/>
          <w:lang w:eastAsia="zh-CN"/>
        </w:rPr>
        <w:t>2025年，</w:t>
      </w:r>
      <w:r w:rsidRPr="00BA7CFD">
        <w:rPr>
          <w:rFonts w:ascii="仿宋_GB2312" w:eastAsia="仿宋_GB2312" w:hAnsi="仿宋_GB2312" w:cs="仿宋_GB2312" w:hint="eastAsia"/>
          <w:sz w:val="32"/>
          <w:szCs w:val="32"/>
          <w:lang w:eastAsia="zh-CN"/>
        </w:rPr>
        <w:t>张掖经开区</w:t>
      </w:r>
      <w:r w:rsidRPr="00BA7CFD">
        <w:rPr>
          <w:rFonts w:ascii="仿宋_GB2312" w:eastAsia="仿宋_GB2312" w:hAnsi="楷体" w:cs="仿宋_GB2312" w:hint="eastAsia"/>
          <w:bCs/>
          <w:kern w:val="0"/>
          <w:sz w:val="32"/>
          <w:szCs w:val="32"/>
          <w:lang w:eastAsia="zh-CN"/>
        </w:rPr>
        <w:t>坚持以习近平新时代中国特色社会主义思想为指导，全面贯彻落实党的二十大及二十届三中全会精神和习近平总书记对甘肃重要讲话重要 指示精神，深入落实党中央、国务院，省委、省政府和市委、市政府决策部署，坚持稳中求进、以进促稳、先立后破，完整、准确、全面贯彻新发展理念，切实增强经济活力、</w:t>
      </w:r>
      <w:r w:rsidRPr="00BA7CFD">
        <w:rPr>
          <w:rFonts w:ascii="仿宋_GB2312" w:eastAsia="仿宋_GB2312" w:hAnsi="宋体" w:cs="仿宋_GB2312" w:hint="eastAsia"/>
          <w:sz w:val="32"/>
          <w:szCs w:val="32"/>
          <w:lang w:eastAsia="zh-CN"/>
        </w:rPr>
        <w:t>坚持</w:t>
      </w:r>
      <w:r w:rsidRPr="00BA7CFD">
        <w:rPr>
          <w:rFonts w:ascii="仿宋_GB2312" w:eastAsia="仿宋_GB2312" w:hAnsi="宋体" w:cs="仿宋_GB2312" w:hint="eastAsia"/>
          <w:bCs/>
          <w:sz w:val="32"/>
          <w:szCs w:val="32"/>
          <w:lang w:eastAsia="zh-CN"/>
        </w:rPr>
        <w:t>统筹兼顾、以收定支</w:t>
      </w:r>
      <w:r w:rsidRPr="00BA7CFD">
        <w:rPr>
          <w:rFonts w:ascii="仿宋_GB2312" w:eastAsia="仿宋_GB2312" w:hAnsi="宋体" w:cs="仿宋_GB2312" w:hint="eastAsia"/>
          <w:sz w:val="32"/>
          <w:szCs w:val="32"/>
          <w:lang w:eastAsia="zh-CN"/>
        </w:rPr>
        <w:t>，</w:t>
      </w:r>
      <w:r w:rsidRPr="00BA7CFD">
        <w:rPr>
          <w:rFonts w:ascii="仿宋_GB2312" w:eastAsia="仿宋_GB2312" w:hAnsi="宋体" w:cs="仿宋_GB2312" w:hint="eastAsia"/>
          <w:bCs/>
          <w:sz w:val="32"/>
          <w:szCs w:val="32"/>
          <w:lang w:eastAsia="zh-CN"/>
        </w:rPr>
        <w:t>坚持优化结构、保障重点，坚持结果导向、注重绩效</w:t>
      </w:r>
      <w:r w:rsidRPr="00BA7CFD">
        <w:rPr>
          <w:rFonts w:ascii="仿宋_GB2312" w:eastAsia="仿宋_GB2312" w:hAnsi="宋体" w:cs="仿宋_GB2312" w:hint="eastAsia"/>
          <w:sz w:val="32"/>
          <w:szCs w:val="32"/>
          <w:lang w:eastAsia="zh-CN"/>
        </w:rPr>
        <w:t>，</w:t>
      </w:r>
      <w:r w:rsidRPr="00BA7CFD">
        <w:rPr>
          <w:rFonts w:ascii="仿宋_GB2312" w:eastAsia="仿宋_GB2312" w:hAnsi="宋体" w:cs="仿宋_GB2312" w:hint="eastAsia"/>
          <w:bCs/>
          <w:sz w:val="32"/>
          <w:szCs w:val="32"/>
          <w:lang w:eastAsia="zh-CN"/>
        </w:rPr>
        <w:t>坚持系统思维、防范风险</w:t>
      </w:r>
      <w:r w:rsidRPr="00BA7CFD">
        <w:rPr>
          <w:rFonts w:ascii="仿宋_GB2312" w:eastAsia="仿宋_GB2312" w:hAnsi="宋体" w:cs="仿宋_GB2312" w:hint="eastAsia"/>
          <w:sz w:val="32"/>
          <w:szCs w:val="32"/>
          <w:lang w:eastAsia="zh-CN"/>
        </w:rPr>
        <w:t>，着力强化财源培育，优化支出结构，加快支出进度，确保财政稳健可持续运行。</w:t>
      </w:r>
      <w:r w:rsidRPr="00BA7CFD">
        <w:rPr>
          <w:rFonts w:ascii="仿宋_GB2312" w:eastAsia="仿宋_GB2312" w:hAnsi="仿宋_GB2312" w:cs="仿宋_GB2312" w:hint="eastAsia"/>
          <w:sz w:val="32"/>
          <w:szCs w:val="32"/>
          <w:lang w:eastAsia="zh-CN"/>
        </w:rPr>
        <w:t>聚焦全市“一屏三地”功能定位和高质量发展目标，加力推进“四强”行动，扎实做好“五量”文章，全力以赴抓招商增后劲、抓项目促投资、抓产业聚集群、抓改革促发展，加快推动新型工业化，经济发展呈现稳中有进态势，</w:t>
      </w:r>
      <w:r w:rsidRPr="00BA7CFD">
        <w:rPr>
          <w:rFonts w:ascii="仿宋_GB2312" w:eastAsia="仿宋_GB2312" w:hAnsi="楷体" w:cs="仿宋_GB2312" w:hint="eastAsia"/>
          <w:bCs/>
          <w:kern w:val="0"/>
          <w:sz w:val="32"/>
          <w:szCs w:val="32"/>
          <w:lang w:eastAsia="zh-CN"/>
        </w:rPr>
        <w:t>奋力开创张掖经开区高质量发展和现代化建设新局面。</w:t>
      </w:r>
    </w:p>
    <w:p w:rsidR="004C6E80" w:rsidRPr="00BA7CFD" w:rsidRDefault="00BA7CFD" w:rsidP="00815B06">
      <w:pPr>
        <w:spacing w:line="560" w:lineRule="exact"/>
        <w:ind w:firstLineChars="200" w:firstLine="640"/>
        <w:rPr>
          <w:rFonts w:ascii="黑体" w:eastAsia="黑体" w:hAnsi="黑体" w:cs="仿宋_GB2312"/>
          <w:kern w:val="0"/>
          <w:sz w:val="32"/>
          <w:szCs w:val="32"/>
        </w:rPr>
      </w:pPr>
      <w:r w:rsidRPr="00BA7CFD">
        <w:rPr>
          <w:rFonts w:ascii="黑体" w:eastAsia="黑体" w:hAnsi="黑体" w:cs="仿宋_GB2312" w:hint="eastAsia"/>
          <w:kern w:val="0"/>
          <w:sz w:val="32"/>
          <w:szCs w:val="32"/>
        </w:rPr>
        <w:t>一、预算编制的基本原则</w:t>
      </w:r>
    </w:p>
    <w:p w:rsidR="004C6E80" w:rsidRPr="00BA7CFD" w:rsidRDefault="00BA7CFD" w:rsidP="00815B06">
      <w:pPr>
        <w:spacing w:line="560" w:lineRule="exact"/>
        <w:ind w:firstLineChars="196" w:firstLine="630"/>
        <w:rPr>
          <w:rFonts w:ascii="仿宋_GB2312" w:eastAsia="仿宋_GB2312" w:hAnsi="楷体" w:cs="仿宋_GB2312"/>
          <w:bCs/>
          <w:kern w:val="0"/>
          <w:sz w:val="32"/>
          <w:szCs w:val="32"/>
        </w:rPr>
      </w:pPr>
      <w:r w:rsidRPr="00BA7CFD">
        <w:rPr>
          <w:rFonts w:ascii="仿宋_GB2312" w:eastAsia="仿宋_GB2312" w:hAnsi="楷体" w:cs="仿宋_GB2312" w:hint="eastAsia"/>
          <w:b/>
          <w:bCs/>
          <w:kern w:val="0"/>
          <w:sz w:val="32"/>
          <w:szCs w:val="32"/>
        </w:rPr>
        <w:t>一是</w:t>
      </w:r>
      <w:r w:rsidRPr="00BA7CFD">
        <w:rPr>
          <w:rFonts w:ascii="仿宋_GB2312" w:eastAsia="仿宋_GB2312" w:hAnsi="楷体" w:cs="仿宋_GB2312" w:hint="eastAsia"/>
          <w:bCs/>
          <w:kern w:val="0"/>
          <w:sz w:val="32"/>
          <w:szCs w:val="32"/>
        </w:rPr>
        <w:t>依法依规。严格按照《预算法》及其实施条例编制预算，硬化预算约束，严格执行人大批准的法定预算，严控政府债务风险</w:t>
      </w:r>
      <w:r>
        <w:rPr>
          <w:rFonts w:ascii="仿宋_GB2312" w:eastAsia="仿宋_GB2312" w:hAnsi="楷体" w:cs="仿宋_GB2312" w:hint="eastAsia"/>
          <w:bCs/>
          <w:kern w:val="0"/>
          <w:sz w:val="32"/>
          <w:szCs w:val="32"/>
        </w:rPr>
        <w:t>。</w:t>
      </w:r>
      <w:r w:rsidRPr="00BA7CFD">
        <w:rPr>
          <w:rFonts w:ascii="仿宋_GB2312" w:eastAsia="仿宋_GB2312" w:hAnsi="楷体" w:cs="仿宋_GB2312" w:hint="eastAsia"/>
          <w:b/>
          <w:bCs/>
          <w:kern w:val="0"/>
          <w:sz w:val="32"/>
          <w:szCs w:val="32"/>
        </w:rPr>
        <w:t>二是</w:t>
      </w:r>
      <w:r w:rsidRPr="00BA7CFD">
        <w:rPr>
          <w:rFonts w:ascii="仿宋_GB2312" w:eastAsia="仿宋_GB2312" w:hAnsi="仿宋_GB2312" w:cs="仿宋_GB2312" w:hint="eastAsia"/>
          <w:bCs/>
          <w:sz w:val="32"/>
          <w:szCs w:val="32"/>
        </w:rPr>
        <w:t>严格落实过紧日子要求，厉行节约原则。2025年各部门（单位）项目支出规划建议数总规模原则上不超过上年预算批</w:t>
      </w:r>
      <w:r w:rsidRPr="00BA7CFD">
        <w:rPr>
          <w:rFonts w:ascii="仿宋_GB2312" w:eastAsia="仿宋_GB2312" w:hAnsi="仿宋_GB2312" w:cs="仿宋_GB2312" w:hint="eastAsia"/>
          <w:bCs/>
          <w:sz w:val="32"/>
          <w:szCs w:val="32"/>
        </w:rPr>
        <w:lastRenderedPageBreak/>
        <w:t>复数。</w:t>
      </w:r>
      <w:r w:rsidRPr="00BA7CFD">
        <w:rPr>
          <w:rFonts w:ascii="仿宋_GB2312" w:eastAsia="仿宋_GB2312" w:hAnsi="楷体" w:cs="仿宋_GB2312" w:hint="eastAsia"/>
          <w:bCs/>
          <w:kern w:val="0"/>
          <w:sz w:val="32"/>
          <w:szCs w:val="32"/>
        </w:rPr>
        <w:t>要长期坚持过紧日子、艰苦奋斗、勤俭节约的支出理念，并在预算编制全过程工作中加以全面贯彻落实。</w:t>
      </w:r>
      <w:r w:rsidRPr="00BA7CFD">
        <w:rPr>
          <w:rFonts w:ascii="仿宋_GB2312" w:eastAsia="仿宋_GB2312" w:hAnsi="楷体" w:cs="仿宋_GB2312" w:hint="eastAsia"/>
          <w:b/>
          <w:bCs/>
          <w:kern w:val="0"/>
          <w:sz w:val="32"/>
          <w:szCs w:val="32"/>
        </w:rPr>
        <w:t>三是</w:t>
      </w:r>
      <w:r w:rsidRPr="00BA7CFD">
        <w:rPr>
          <w:rFonts w:ascii="仿宋_GB2312" w:eastAsia="仿宋_GB2312" w:hAnsi="仿宋_GB2312" w:cs="仿宋_GB2312" w:hint="eastAsia"/>
          <w:bCs/>
          <w:sz w:val="32"/>
          <w:szCs w:val="32"/>
        </w:rPr>
        <w:t>硬化部门预算约束。坚持先有预算后有支出，无预算不支出。年初预算一经批复，执行中原则上不再追加。凡没有政策依据或实质内容的支出，一律不安排预算。</w:t>
      </w:r>
      <w:r w:rsidRPr="00BA7CFD">
        <w:rPr>
          <w:rFonts w:ascii="仿宋_GB2312" w:eastAsia="仿宋_GB2312" w:hAnsi="楷体" w:cs="仿宋_GB2312" w:hint="eastAsia"/>
          <w:b/>
          <w:bCs/>
          <w:kern w:val="0"/>
          <w:sz w:val="32"/>
          <w:szCs w:val="32"/>
        </w:rPr>
        <w:t>四是</w:t>
      </w:r>
      <w:r w:rsidRPr="00BA7CFD">
        <w:rPr>
          <w:rFonts w:ascii="仿宋_GB2312" w:eastAsia="仿宋_GB2312" w:hAnsi="楷体" w:cs="仿宋_GB2312" w:hint="eastAsia"/>
          <w:bCs/>
          <w:kern w:val="0"/>
          <w:sz w:val="32"/>
          <w:szCs w:val="32"/>
        </w:rPr>
        <w:t>有保有压。</w:t>
      </w:r>
      <w:r w:rsidRPr="00BA7CFD">
        <w:rPr>
          <w:rFonts w:ascii="仿宋_GB2312" w:eastAsia="仿宋_GB2312" w:hAnsi="宋体" w:cs="仿宋_GB2312" w:hint="eastAsia"/>
          <w:bCs/>
          <w:color w:val="333333"/>
          <w:sz w:val="32"/>
          <w:szCs w:val="32"/>
          <w:shd w:val="clear" w:color="auto" w:fill="FFFFFF"/>
        </w:rPr>
        <w:t>预算安排要坚持“三保”支出优先，突出重点领域保障，合理支出中不留硬缺口；</w:t>
      </w:r>
      <w:r w:rsidRPr="00BA7CFD">
        <w:rPr>
          <w:rFonts w:ascii="仿宋_GB2312" w:eastAsia="仿宋_GB2312" w:hAnsi="楷体" w:cs="仿宋_GB2312" w:hint="eastAsia"/>
          <w:bCs/>
          <w:kern w:val="0"/>
          <w:sz w:val="32"/>
          <w:szCs w:val="32"/>
        </w:rPr>
        <w:t>严控一般性支出，压缩“三公”经费。</w:t>
      </w:r>
      <w:r w:rsidRPr="00BA7CFD">
        <w:rPr>
          <w:rFonts w:ascii="仿宋_GB2312" w:eastAsia="仿宋_GB2312" w:hAnsi="楷体" w:cs="仿宋_GB2312" w:hint="eastAsia"/>
          <w:b/>
          <w:bCs/>
          <w:kern w:val="0"/>
          <w:sz w:val="32"/>
          <w:szCs w:val="32"/>
        </w:rPr>
        <w:t>五是</w:t>
      </w:r>
      <w:r w:rsidRPr="00BA7CFD">
        <w:rPr>
          <w:rFonts w:ascii="仿宋_GB2312" w:eastAsia="仿宋_GB2312" w:hAnsi="楷体" w:cs="仿宋_GB2312" w:hint="eastAsia"/>
          <w:bCs/>
          <w:kern w:val="0"/>
          <w:sz w:val="32"/>
          <w:szCs w:val="32"/>
        </w:rPr>
        <w:t>全面绩效。强化绩效目标评审，完善绩效评价机制，</w:t>
      </w:r>
      <w:r w:rsidRPr="00BA7CFD">
        <w:rPr>
          <w:rFonts w:ascii="仿宋_GB2312" w:eastAsia="仿宋_GB2312" w:hAnsi="宋体" w:cs="仿宋_GB2312" w:hint="eastAsia"/>
          <w:bCs/>
          <w:color w:val="333333"/>
          <w:sz w:val="32"/>
          <w:szCs w:val="32"/>
          <w:shd w:val="clear" w:color="auto" w:fill="FFFFFF"/>
        </w:rPr>
        <w:t>坚决落实好预算绩效评价结果与年度项目预算安排挂钩机制。</w:t>
      </w:r>
    </w:p>
    <w:p w:rsidR="00BA7CFD" w:rsidRPr="00BA7CFD" w:rsidRDefault="00BA7CFD" w:rsidP="00815B06">
      <w:pPr>
        <w:spacing w:line="560" w:lineRule="exact"/>
        <w:ind w:firstLineChars="196" w:firstLine="627"/>
        <w:rPr>
          <w:rFonts w:ascii="黑体" w:eastAsia="黑体" w:hAnsi="黑体" w:cs="仿宋_GB2312"/>
          <w:sz w:val="32"/>
          <w:szCs w:val="32"/>
        </w:rPr>
      </w:pPr>
      <w:r w:rsidRPr="00BA7CFD">
        <w:rPr>
          <w:rFonts w:ascii="黑体" w:eastAsia="黑体" w:hAnsi="黑体" w:cs="仿宋_GB2312" w:hint="eastAsia"/>
          <w:sz w:val="32"/>
          <w:szCs w:val="32"/>
        </w:rPr>
        <w:t>二、经开区财政收支预算（草案）</w:t>
      </w:r>
    </w:p>
    <w:p w:rsidR="004C6E80" w:rsidRPr="00BA7CFD" w:rsidRDefault="00BA7CFD" w:rsidP="00815B06">
      <w:pPr>
        <w:spacing w:line="560" w:lineRule="exact"/>
        <w:ind w:firstLineChars="196" w:firstLine="630"/>
        <w:rPr>
          <w:rFonts w:ascii="仿宋_GB2312" w:eastAsia="仿宋_GB2312" w:hAnsi="仿宋_GB2312" w:cs="仿宋_GB2312"/>
          <w:b/>
          <w:sz w:val="32"/>
          <w:szCs w:val="32"/>
        </w:rPr>
      </w:pPr>
      <w:r w:rsidRPr="00BA7CFD">
        <w:rPr>
          <w:rFonts w:ascii="楷体_GB2312" w:eastAsia="楷体_GB2312" w:hAnsi="仿宋_GB2312" w:cs="仿宋_GB2312" w:hint="eastAsia"/>
          <w:b/>
          <w:sz w:val="32"/>
          <w:szCs w:val="32"/>
        </w:rPr>
        <w:t>一般公共预算：</w:t>
      </w:r>
      <w:r w:rsidRPr="00BA7CFD">
        <w:rPr>
          <w:rFonts w:ascii="仿宋_GB2312" w:eastAsia="仿宋_GB2312" w:hint="eastAsia"/>
          <w:spacing w:val="15"/>
          <w:sz w:val="32"/>
          <w:szCs w:val="32"/>
        </w:rPr>
        <w:t>建议经开区一般公共预算收入增长6.5%</w:t>
      </w:r>
      <w:r w:rsidRPr="00BA7CFD">
        <w:rPr>
          <w:rFonts w:ascii="仿宋_GB2312" w:eastAsia="仿宋_GB2312" w:hint="eastAsia"/>
          <w:spacing w:val="14"/>
          <w:sz w:val="32"/>
          <w:szCs w:val="32"/>
        </w:rPr>
        <w:t>,预</w:t>
      </w:r>
      <w:r w:rsidRPr="00BA7CFD">
        <w:rPr>
          <w:rFonts w:ascii="仿宋_GB2312" w:eastAsia="仿宋_GB2312" w:hint="eastAsia"/>
          <w:spacing w:val="17"/>
          <w:sz w:val="32"/>
          <w:szCs w:val="32"/>
        </w:rPr>
        <w:t>计完成9809</w:t>
      </w:r>
      <w:r w:rsidRPr="00BA7CFD">
        <w:rPr>
          <w:rFonts w:ascii="仿宋_GB2312" w:eastAsia="仿宋_GB2312" w:hAnsi="仿宋_GB2312" w:cs="仿宋_GB2312" w:hint="eastAsia"/>
          <w:sz w:val="32"/>
          <w:szCs w:val="32"/>
        </w:rPr>
        <w:t>万元</w:t>
      </w:r>
      <w:r w:rsidRPr="00BA7CFD">
        <w:rPr>
          <w:rFonts w:ascii="仿宋_GB2312" w:eastAsia="仿宋_GB2312" w:hint="eastAsia"/>
          <w:spacing w:val="17"/>
          <w:sz w:val="32"/>
          <w:szCs w:val="32"/>
        </w:rPr>
        <w:t>，加上</w:t>
      </w:r>
      <w:r w:rsidRPr="00BA7CFD">
        <w:rPr>
          <w:rFonts w:ascii="仿宋_GB2312" w:eastAsia="仿宋_GB2312" w:hAnsi="仿宋_GB2312" w:cs="仿宋_GB2312" w:hint="eastAsia"/>
          <w:sz w:val="32"/>
          <w:szCs w:val="32"/>
        </w:rPr>
        <w:t>预算稳定调节基金1688</w:t>
      </w:r>
      <w:r w:rsidRPr="00BA7CFD">
        <w:rPr>
          <w:rFonts w:ascii="仿宋_GB2312" w:eastAsia="仿宋_GB2312" w:hint="eastAsia"/>
          <w:spacing w:val="16"/>
          <w:sz w:val="32"/>
          <w:szCs w:val="32"/>
        </w:rPr>
        <w:t>万元</w:t>
      </w:r>
      <w:r w:rsidRPr="00BA7CFD">
        <w:rPr>
          <w:rFonts w:ascii="仿宋_GB2312" w:eastAsia="仿宋_GB2312" w:hint="eastAsia"/>
          <w:spacing w:val="10"/>
          <w:sz w:val="32"/>
          <w:szCs w:val="32"/>
        </w:rPr>
        <w:t>，调入政府性基金1993万，预计可安排财力13490</w:t>
      </w:r>
      <w:r w:rsidRPr="00BA7CFD">
        <w:rPr>
          <w:rFonts w:ascii="仿宋_GB2312" w:eastAsia="仿宋_GB2312" w:hint="eastAsia"/>
          <w:spacing w:val="-5"/>
          <w:sz w:val="32"/>
          <w:szCs w:val="32"/>
        </w:rPr>
        <w:t>万元。按照收支平衡的原则，相应安排支出13490万元</w:t>
      </w:r>
      <w:r w:rsidRPr="00BA7CFD">
        <w:rPr>
          <w:rFonts w:ascii="仿宋_GB2312" w:eastAsia="仿宋_GB2312" w:hAnsi="仿宋_GB2312" w:cs="仿宋_GB2312" w:hint="eastAsia"/>
          <w:sz w:val="32"/>
          <w:szCs w:val="32"/>
        </w:rPr>
        <w:t>，比上年预算数增加2007万元、增长17.47%，具体构成是：</w:t>
      </w:r>
    </w:p>
    <w:p w:rsidR="004C6E80" w:rsidRPr="00BA7CFD" w:rsidRDefault="00BA7CFD" w:rsidP="00815B06">
      <w:pPr>
        <w:numPr>
          <w:ilvl w:val="0"/>
          <w:numId w:val="1"/>
        </w:numPr>
        <w:spacing w:line="560" w:lineRule="exact"/>
        <w:rPr>
          <w:rFonts w:ascii="仿宋_GB2312" w:eastAsia="仿宋_GB2312" w:hAnsi="仿宋_GB2312" w:cs="仿宋_GB2312"/>
          <w:sz w:val="32"/>
          <w:szCs w:val="32"/>
        </w:rPr>
      </w:pPr>
      <w:r w:rsidRPr="00BA7CFD">
        <w:rPr>
          <w:rFonts w:ascii="仿宋_GB2312" w:eastAsia="仿宋_GB2312" w:hAnsi="仿宋_GB2312" w:cs="仿宋_GB2312" w:hint="eastAsia"/>
          <w:sz w:val="32"/>
          <w:szCs w:val="32"/>
        </w:rPr>
        <w:t>一般公共预算收入9809万元；</w:t>
      </w:r>
    </w:p>
    <w:p w:rsidR="004C6E80" w:rsidRPr="00BA7CFD" w:rsidRDefault="00BA7CFD" w:rsidP="00815B06">
      <w:pPr>
        <w:numPr>
          <w:ilvl w:val="0"/>
          <w:numId w:val="1"/>
        </w:numPr>
        <w:spacing w:line="560" w:lineRule="exact"/>
        <w:rPr>
          <w:rFonts w:ascii="仿宋_GB2312" w:eastAsia="仿宋_GB2312" w:hAnsi="仿宋_GB2312" w:cs="仿宋_GB2312"/>
          <w:sz w:val="32"/>
          <w:szCs w:val="32"/>
        </w:rPr>
      </w:pPr>
      <w:r w:rsidRPr="00BA7CFD">
        <w:rPr>
          <w:rFonts w:ascii="仿宋_GB2312" w:eastAsia="仿宋_GB2312" w:hAnsi="仿宋_GB2312" w:cs="仿宋_GB2312" w:hint="eastAsia"/>
          <w:sz w:val="32"/>
          <w:szCs w:val="32"/>
        </w:rPr>
        <w:t>动用预算稳定调节基金1688万元；</w:t>
      </w:r>
    </w:p>
    <w:p w:rsidR="004C6E80" w:rsidRPr="00BA7CFD" w:rsidRDefault="00BA7CFD" w:rsidP="00815B06">
      <w:pPr>
        <w:numPr>
          <w:ilvl w:val="0"/>
          <w:numId w:val="1"/>
        </w:numPr>
        <w:spacing w:line="560" w:lineRule="exact"/>
        <w:rPr>
          <w:rFonts w:ascii="仿宋_GB2312" w:eastAsia="仿宋_GB2312" w:hAnsi="仿宋_GB2312" w:cs="仿宋_GB2312"/>
          <w:sz w:val="32"/>
          <w:szCs w:val="32"/>
        </w:rPr>
      </w:pPr>
      <w:r w:rsidRPr="00BA7CFD">
        <w:rPr>
          <w:rFonts w:ascii="仿宋_GB2312" w:eastAsia="仿宋_GB2312" w:hAnsi="仿宋_GB2312" w:cs="仿宋_GB2312" w:hint="eastAsia"/>
          <w:sz w:val="32"/>
          <w:szCs w:val="32"/>
        </w:rPr>
        <w:t>调入政府性基金1993万元。</w:t>
      </w:r>
    </w:p>
    <w:p w:rsidR="004C6E80" w:rsidRPr="00BA7CFD" w:rsidRDefault="00BA7CFD" w:rsidP="00815B06">
      <w:pPr>
        <w:spacing w:line="560" w:lineRule="exact"/>
        <w:ind w:firstLineChars="200" w:firstLine="640"/>
        <w:rPr>
          <w:rFonts w:ascii="仿宋_GB2312" w:eastAsia="仿宋_GB2312" w:hAnsi="仿宋_GB2312" w:cs="仿宋_GB2312"/>
          <w:sz w:val="32"/>
          <w:szCs w:val="32"/>
        </w:rPr>
      </w:pPr>
      <w:r w:rsidRPr="00BA7CFD">
        <w:rPr>
          <w:rFonts w:ascii="仿宋_GB2312" w:eastAsia="仿宋_GB2312" w:hAnsi="仿宋_GB2312" w:cs="仿宋_GB2312" w:hint="eastAsia"/>
          <w:sz w:val="32"/>
          <w:szCs w:val="32"/>
        </w:rPr>
        <w:t>按照收支平衡原则，相应安排经开区一般公共预算支出13490万元。其中:</w:t>
      </w:r>
    </w:p>
    <w:p w:rsidR="00BA7CFD" w:rsidRDefault="00BA7CFD" w:rsidP="00815B06">
      <w:pPr>
        <w:spacing w:line="560" w:lineRule="exact"/>
        <w:ind w:left="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（一）</w:t>
      </w:r>
      <w:r w:rsidRPr="00BA7CFD">
        <w:rPr>
          <w:rFonts w:ascii="仿宋_GB2312" w:eastAsia="仿宋_GB2312" w:hAnsi="仿宋_GB2312" w:cs="仿宋_GB2312" w:hint="eastAsia"/>
          <w:b/>
          <w:bCs/>
          <w:sz w:val="32"/>
          <w:szCs w:val="32"/>
        </w:rPr>
        <w:t>基本支出1310万元,占支出总额的9.71%，</w:t>
      </w:r>
      <w:r w:rsidRPr="00BA7CFD">
        <w:rPr>
          <w:rFonts w:ascii="仿宋_GB2312" w:eastAsia="仿宋_GB2312" w:hAnsi="仿宋_GB2312" w:cs="仿宋_GB2312" w:hint="eastAsia"/>
          <w:sz w:val="32"/>
          <w:szCs w:val="32"/>
        </w:rPr>
        <w:t>其中：人</w:t>
      </w:r>
    </w:p>
    <w:p w:rsidR="004C6E80" w:rsidRPr="00BA7CFD" w:rsidRDefault="00BA7CFD" w:rsidP="00815B06">
      <w:pPr>
        <w:spacing w:line="560" w:lineRule="exact"/>
        <w:ind w:left="142"/>
        <w:rPr>
          <w:rFonts w:ascii="仿宋_GB2312" w:eastAsia="仿宋_GB2312" w:hAnsi="仿宋_GB2312" w:cs="仿宋_GB2312"/>
          <w:sz w:val="32"/>
          <w:szCs w:val="32"/>
        </w:rPr>
      </w:pPr>
      <w:r w:rsidRPr="00BA7CFD">
        <w:rPr>
          <w:rFonts w:ascii="仿宋_GB2312" w:eastAsia="仿宋_GB2312" w:hAnsi="仿宋_GB2312" w:cs="仿宋_GB2312" w:hint="eastAsia"/>
          <w:sz w:val="32"/>
          <w:szCs w:val="32"/>
        </w:rPr>
        <w:t>员经费1169万元；公用支出117万元、对家庭和个人补助支出</w:t>
      </w:r>
      <w:r w:rsidRPr="00BA7CFD">
        <w:rPr>
          <w:rFonts w:ascii="仿宋_GB2312" w:eastAsia="仿宋_GB2312" w:hAnsi="仿宋_GB2312" w:cs="仿宋_GB2312" w:hint="eastAsia"/>
          <w:sz w:val="32"/>
          <w:szCs w:val="32"/>
        </w:rPr>
        <w:lastRenderedPageBreak/>
        <w:t>等24万元。</w:t>
      </w:r>
    </w:p>
    <w:p w:rsidR="004C6E80" w:rsidRPr="00BA7CFD" w:rsidRDefault="00BA7CFD" w:rsidP="00815B06">
      <w:pPr>
        <w:spacing w:line="560" w:lineRule="exact"/>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（二）</w:t>
      </w:r>
      <w:r w:rsidRPr="00BA7CFD">
        <w:rPr>
          <w:rFonts w:ascii="仿宋_GB2312" w:eastAsia="仿宋_GB2312" w:hAnsi="仿宋_GB2312" w:cs="仿宋_GB2312" w:hint="eastAsia"/>
          <w:b/>
          <w:sz w:val="32"/>
          <w:szCs w:val="32"/>
        </w:rPr>
        <w:t>项目支出</w:t>
      </w:r>
      <w:r>
        <w:rPr>
          <w:rFonts w:ascii="仿宋_GB2312" w:eastAsia="仿宋_GB2312" w:hAnsi="仿宋_GB2312" w:cs="仿宋_GB2312" w:hint="eastAsia"/>
          <w:b/>
          <w:sz w:val="32"/>
          <w:szCs w:val="32"/>
        </w:rPr>
        <w:t>和</w:t>
      </w:r>
      <w:r w:rsidRPr="00BA7CFD">
        <w:rPr>
          <w:rFonts w:ascii="仿宋_GB2312" w:eastAsia="仿宋_GB2312" w:hAnsi="仿宋_GB2312" w:cs="仿宋_GB2312" w:hint="eastAsia"/>
          <w:b/>
          <w:sz w:val="32"/>
          <w:szCs w:val="32"/>
        </w:rPr>
        <w:t>预备费12180万元,占支出总额的90.29%，其中</w:t>
      </w:r>
      <w:r w:rsidRPr="00BA7CFD">
        <w:rPr>
          <w:rFonts w:ascii="仿宋_GB2312" w:eastAsia="仿宋_GB2312" w:hAnsi="仿宋_GB2312" w:cs="仿宋_GB2312" w:hint="eastAsia"/>
          <w:sz w:val="32"/>
          <w:szCs w:val="32"/>
        </w:rPr>
        <w:t>：</w:t>
      </w:r>
    </w:p>
    <w:p w:rsidR="004C6E80" w:rsidRPr="00BA7CFD" w:rsidRDefault="00BA7CFD" w:rsidP="00815B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sidRPr="00BA7CFD">
        <w:rPr>
          <w:rFonts w:ascii="仿宋_GB2312" w:eastAsia="仿宋_GB2312" w:hAnsi="仿宋_GB2312" w:cs="仿宋_GB2312" w:hint="eastAsia"/>
          <w:sz w:val="32"/>
          <w:szCs w:val="32"/>
        </w:rPr>
        <w:t>招商引资及项目前期、规划方面。安排资金1379万元，重点用于项目前期费、规划编制、评估、招商引资等支出。</w:t>
      </w:r>
    </w:p>
    <w:p w:rsidR="004C6E80" w:rsidRPr="00BA7CFD" w:rsidRDefault="00BA7CFD" w:rsidP="00815B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sidRPr="00BA7CFD">
        <w:rPr>
          <w:rFonts w:ascii="仿宋_GB2312" w:eastAsia="仿宋_GB2312" w:hAnsi="仿宋_GB2312" w:cs="仿宋_GB2312" w:hint="eastAsia"/>
          <w:sz w:val="32"/>
          <w:szCs w:val="32"/>
        </w:rPr>
        <w:t>支持企业发展及安排资金1700万元，重点用于企业发展、科技创新奖补、产业引导基金等支出。</w:t>
      </w:r>
    </w:p>
    <w:p w:rsidR="004C6E80" w:rsidRPr="00BA7CFD" w:rsidRDefault="00BA7CFD" w:rsidP="00815B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sidRPr="00BA7CFD">
        <w:rPr>
          <w:rFonts w:ascii="仿宋_GB2312" w:eastAsia="仿宋_GB2312" w:hAnsi="仿宋_GB2312" w:cs="仿宋_GB2312" w:hint="eastAsia"/>
          <w:sz w:val="32"/>
          <w:szCs w:val="32"/>
        </w:rPr>
        <w:t>生态环保及污染治理方面。安排资金1282万元，重点用于环境安全平台建设、环境监测、污水处理厂运行费用及5户企业拆迁补偿等支出。</w:t>
      </w:r>
    </w:p>
    <w:p w:rsidR="004C6E80" w:rsidRPr="00BA7CFD" w:rsidRDefault="00BA7CFD" w:rsidP="00815B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sidRPr="00BA7CFD">
        <w:rPr>
          <w:rFonts w:ascii="仿宋_GB2312" w:eastAsia="仿宋_GB2312" w:hAnsi="仿宋_GB2312" w:cs="仿宋_GB2312" w:hint="eastAsia"/>
          <w:sz w:val="32"/>
          <w:szCs w:val="32"/>
        </w:rPr>
        <w:t>基础设施建设方面。安排支出4709万元，重点用于经开区提升改造、园区道路建设、基础设施维护、维修等支出。</w:t>
      </w:r>
    </w:p>
    <w:p w:rsidR="004C6E80" w:rsidRPr="00BA7CFD" w:rsidRDefault="00BA7CFD" w:rsidP="00815B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sidRPr="00BA7CFD">
        <w:rPr>
          <w:rFonts w:ascii="仿宋_GB2312" w:eastAsia="仿宋_GB2312" w:hAnsi="仿宋_GB2312" w:cs="仿宋_GB2312" w:hint="eastAsia"/>
          <w:sz w:val="32"/>
          <w:szCs w:val="32"/>
        </w:rPr>
        <w:t>园区绿化管理方面。安排支出918万元, 重点用于园林绿化管护。</w:t>
      </w:r>
    </w:p>
    <w:p w:rsidR="004C6E80" w:rsidRPr="00BA7CFD" w:rsidRDefault="00BA7CFD" w:rsidP="00815B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sidRPr="00BA7CFD">
        <w:rPr>
          <w:rFonts w:ascii="仿宋_GB2312" w:eastAsia="仿宋_GB2312" w:hAnsi="仿宋_GB2312" w:cs="仿宋_GB2312" w:hint="eastAsia"/>
          <w:sz w:val="32"/>
          <w:szCs w:val="32"/>
        </w:rPr>
        <w:t>安排偿债资金1070万元，主要用于化解以前年度基础设施建设形成的债务。</w:t>
      </w:r>
    </w:p>
    <w:p w:rsidR="004C6E80" w:rsidRPr="00BA7CFD" w:rsidRDefault="00BA7CFD" w:rsidP="00815B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sidRPr="00BA7CFD">
        <w:rPr>
          <w:rFonts w:ascii="仿宋_GB2312" w:eastAsia="仿宋_GB2312" w:hAnsi="仿宋_GB2312" w:cs="仿宋_GB2312" w:hint="eastAsia"/>
          <w:sz w:val="32"/>
          <w:szCs w:val="32"/>
        </w:rPr>
        <w:t>应急管理方面，安排支出222万元，主要用于化工集中区安全平台建设、安全监管、应急预案、应急救援服务等支出。</w:t>
      </w:r>
    </w:p>
    <w:p w:rsidR="004C6E80" w:rsidRPr="00BA7CFD" w:rsidRDefault="00BA7CFD" w:rsidP="00815B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sidRPr="00BA7CFD">
        <w:rPr>
          <w:rFonts w:ascii="仿宋_GB2312" w:eastAsia="仿宋_GB2312" w:hAnsi="仿宋_GB2312" w:cs="仿宋_GB2312" w:hint="eastAsia"/>
          <w:sz w:val="32"/>
          <w:szCs w:val="32"/>
        </w:rPr>
        <w:t>安排税收事业费220万元，主要用于支付临聘人员工资、社保费、取暖费、税收征管办案费。</w:t>
      </w:r>
    </w:p>
    <w:p w:rsidR="004C6E80" w:rsidRPr="00BA7CFD" w:rsidRDefault="00BA7CFD" w:rsidP="00815B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w:t>
      </w:r>
      <w:r w:rsidRPr="00BA7CFD">
        <w:rPr>
          <w:rFonts w:ascii="仿宋_GB2312" w:eastAsia="仿宋_GB2312" w:hAnsi="仿宋_GB2312" w:cs="仿宋_GB2312" w:hint="eastAsia"/>
          <w:sz w:val="32"/>
          <w:szCs w:val="32"/>
        </w:rPr>
        <w:t>教育费附加支出安排300万元</w:t>
      </w:r>
    </w:p>
    <w:p w:rsidR="004C6E80" w:rsidRPr="00BA7CFD" w:rsidRDefault="00BA7CFD" w:rsidP="00815B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10.</w:t>
      </w:r>
      <w:r w:rsidRPr="00BA7CFD">
        <w:rPr>
          <w:rFonts w:ascii="仿宋_GB2312" w:eastAsia="仿宋_GB2312" w:hAnsi="仿宋_GB2312" w:cs="仿宋_GB2312" w:hint="eastAsia"/>
          <w:sz w:val="32"/>
          <w:szCs w:val="32"/>
        </w:rPr>
        <w:t>残疾人保障金支出安排200万元</w:t>
      </w:r>
    </w:p>
    <w:p w:rsidR="004C6E80" w:rsidRPr="00BA7CFD" w:rsidRDefault="00BA7CFD" w:rsidP="00815B0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11.</w:t>
      </w:r>
      <w:r w:rsidRPr="00BA7CFD">
        <w:rPr>
          <w:rFonts w:ascii="仿宋_GB2312" w:eastAsia="仿宋_GB2312" w:hAnsi="仿宋_GB2312" w:cs="仿宋_GB2312" w:hint="eastAsia"/>
          <w:sz w:val="32"/>
          <w:szCs w:val="32"/>
        </w:rPr>
        <w:t>安排预备费180万元。</w:t>
      </w:r>
    </w:p>
    <w:p w:rsidR="004C6E80" w:rsidRPr="00BA7CFD" w:rsidRDefault="00BA7CFD" w:rsidP="00815B06">
      <w:pPr>
        <w:spacing w:line="560" w:lineRule="exact"/>
        <w:ind w:firstLineChars="200" w:firstLine="643"/>
        <w:rPr>
          <w:rFonts w:ascii="仿宋_GB2312" w:eastAsia="仿宋_GB2312" w:hAnsi="仿宋_GB2312" w:cs="仿宋_GB2312"/>
          <w:sz w:val="32"/>
          <w:szCs w:val="32"/>
        </w:rPr>
      </w:pPr>
      <w:r w:rsidRPr="00BA7CFD">
        <w:rPr>
          <w:rFonts w:ascii="楷体_GB2312" w:eastAsia="楷体_GB2312" w:hAnsi="仿宋_GB2312" w:cs="仿宋_GB2312" w:hint="eastAsia"/>
          <w:b/>
          <w:sz w:val="32"/>
          <w:szCs w:val="32"/>
        </w:rPr>
        <w:t>政府性基金预算：</w:t>
      </w:r>
      <w:r w:rsidRPr="00BA7CFD">
        <w:rPr>
          <w:rFonts w:ascii="仿宋_GB2312" w:eastAsia="仿宋_GB2312" w:hAnsi="仿宋_GB2312" w:cs="仿宋_GB2312" w:hint="eastAsia"/>
          <w:sz w:val="32"/>
          <w:szCs w:val="32"/>
        </w:rPr>
        <w:t>2025年政府性基金预算收入5297万元，加上稳定调节基金369万元，减去调入一般公共预算1993万元，政府性基金预计可用财力3673万元。按照收支平衡原则，支出相应安排3673万元，主要用于支付地方政府专项债券利息、园区基础设施建设及征地补偿。</w:t>
      </w:r>
    </w:p>
    <w:p w:rsidR="004C6E80" w:rsidRPr="00BA7CFD" w:rsidRDefault="00BA7CFD" w:rsidP="00815B06">
      <w:pPr>
        <w:spacing w:line="560" w:lineRule="exact"/>
        <w:ind w:firstLineChars="200" w:firstLine="640"/>
        <w:rPr>
          <w:rFonts w:ascii="黑体" w:eastAsia="黑体" w:hAnsi="黑体" w:cs="仿宋_GB2312"/>
          <w:sz w:val="32"/>
          <w:szCs w:val="32"/>
        </w:rPr>
      </w:pPr>
      <w:r w:rsidRPr="00BA7CFD">
        <w:rPr>
          <w:rFonts w:ascii="黑体" w:eastAsia="黑体" w:hAnsi="黑体" w:cs="仿宋_GB2312" w:hint="eastAsia"/>
          <w:sz w:val="32"/>
          <w:szCs w:val="32"/>
        </w:rPr>
        <w:t>三、2025年重点工作</w:t>
      </w:r>
    </w:p>
    <w:p w:rsidR="004C6E80" w:rsidRPr="00BA7CFD" w:rsidRDefault="00BA7CFD" w:rsidP="00815B06">
      <w:pPr>
        <w:spacing w:line="560" w:lineRule="exact"/>
        <w:ind w:firstLineChars="200" w:firstLine="640"/>
        <w:rPr>
          <w:rFonts w:ascii="仿宋_GB2312" w:eastAsia="仿宋_GB2312" w:hAnsi="仿宋_GB2312" w:cs="仿宋_GB2312"/>
          <w:sz w:val="32"/>
          <w:szCs w:val="32"/>
        </w:rPr>
      </w:pPr>
      <w:r w:rsidRPr="00BA7CFD">
        <w:rPr>
          <w:rFonts w:ascii="仿宋_GB2312" w:eastAsia="仿宋_GB2312" w:hAnsi="仿宋_GB2312" w:cs="仿宋_GB2312" w:hint="eastAsia"/>
          <w:sz w:val="32"/>
          <w:szCs w:val="32"/>
        </w:rPr>
        <w:t>2025年，张掖经开区计划完成地区生产总值145亿元、同比增长8%，完成工业增加值35亿元、同比增长8.5%，完成工业总产值186亿元、同增长16.3%。统筹县级工业园区，预计完成地区生产总值213亿元、同比增长12.2%，完成工业增加值88亿元、同比增长10%，完成工业总产值350亿元、同比增长12.1%。</w:t>
      </w:r>
    </w:p>
    <w:p w:rsidR="004C6E80" w:rsidRPr="00BA7CFD" w:rsidRDefault="00BA7CFD" w:rsidP="00815B06">
      <w:pPr>
        <w:spacing w:line="560" w:lineRule="exact"/>
        <w:ind w:firstLineChars="200" w:firstLine="643"/>
        <w:rPr>
          <w:rFonts w:ascii="仿宋_GB2312" w:eastAsia="仿宋_GB2312" w:hAnsi="仿宋_GB2312" w:cs="仿宋_GB2312"/>
          <w:sz w:val="32"/>
          <w:szCs w:val="32"/>
        </w:rPr>
      </w:pPr>
      <w:bookmarkStart w:id="0" w:name="_GoBack"/>
      <w:bookmarkEnd w:id="0"/>
      <w:r w:rsidRPr="00BA7CFD">
        <w:rPr>
          <w:rFonts w:ascii="楷体_GB2312" w:eastAsia="楷体_GB2312" w:hAnsi="楷体_GB2312" w:cs="楷体_GB2312" w:hint="eastAsia"/>
          <w:b/>
          <w:bCs/>
          <w:sz w:val="32"/>
          <w:szCs w:val="32"/>
        </w:rPr>
        <w:t>（一）狠抓招商引资，积蓄发展动能。</w:t>
      </w:r>
      <w:r w:rsidRPr="00BA7CFD">
        <w:rPr>
          <w:rFonts w:ascii="仿宋_GB2312" w:eastAsia="仿宋_GB2312" w:hAnsi="仿宋_GB2312" w:cs="仿宋_GB2312" w:hint="eastAsia"/>
          <w:sz w:val="32"/>
          <w:szCs w:val="32"/>
        </w:rPr>
        <w:t>加强与合作共建园区沟通对接，积极拓展上海、江苏、福建、浙江、山东等地招商网络，借助“兰洽会”“投洽会”“西洽会”等会展机遇，多渠道储备招商线索，聚力招引上下游产业项目，全力推进华夏大地（肃南裕固族自治县）碳纤维、温州张掖医药产业园等意向项目转化为落地项目，确保全年招引优质项目35项以上，落实省外到位资金30亿元、同比增长72.4%。</w:t>
      </w:r>
    </w:p>
    <w:p w:rsidR="004C6E80" w:rsidRPr="00BA7CFD" w:rsidRDefault="00BA7CFD" w:rsidP="00815B06">
      <w:pPr>
        <w:spacing w:line="560" w:lineRule="exact"/>
        <w:ind w:firstLineChars="200" w:firstLine="643"/>
        <w:rPr>
          <w:rFonts w:ascii="仿宋_GB2312" w:eastAsia="仿宋_GB2312" w:hAnsi="仿宋_GB2312" w:cs="仿宋_GB2312"/>
          <w:sz w:val="32"/>
          <w:szCs w:val="32"/>
        </w:rPr>
      </w:pPr>
      <w:r w:rsidRPr="00BA7CFD">
        <w:rPr>
          <w:rFonts w:ascii="楷体_GB2312" w:eastAsia="楷体_GB2312" w:hAnsi="楷体_GB2312" w:cs="楷体_GB2312" w:hint="eastAsia"/>
          <w:b/>
          <w:bCs/>
          <w:sz w:val="32"/>
          <w:szCs w:val="32"/>
        </w:rPr>
        <w:t>（二）狠抓项目建设，扩大有效投资。</w:t>
      </w:r>
      <w:r w:rsidRPr="00BA7CFD">
        <w:rPr>
          <w:rFonts w:ascii="仿宋_GB2312" w:eastAsia="仿宋_GB2312" w:hAnsi="仿宋_GB2312" w:cs="仿宋_GB2312" w:hint="eastAsia"/>
          <w:sz w:val="32"/>
          <w:szCs w:val="32"/>
        </w:rPr>
        <w:t>牢固树立“项目为王”理念，建立完善“三个清单”，持续深入落实“五个一”工作机制，有效解决项目推进过程中的制约因素，重点抓好纳塔新材料、</w:t>
      </w:r>
      <w:r w:rsidRPr="00BA7CFD">
        <w:rPr>
          <w:rFonts w:ascii="仿宋_GB2312" w:eastAsia="仿宋_GB2312" w:hAnsi="仿宋_GB2312" w:cs="仿宋_GB2312" w:hint="eastAsia"/>
          <w:sz w:val="32"/>
          <w:szCs w:val="32"/>
        </w:rPr>
        <w:lastRenderedPageBreak/>
        <w:t>智鑫玄武岩、甘肃永泰金属锂等重点项目，力争项目建设取得新突破。2025年谋划实施重点投资建设项目48项，计划总投资307亿元，年度计划投资65.4亿元、同比增长24.1%。</w:t>
      </w:r>
    </w:p>
    <w:p w:rsidR="004C6E80" w:rsidRPr="00BA7CFD" w:rsidRDefault="00BA7CFD" w:rsidP="00815B06">
      <w:pPr>
        <w:spacing w:line="560" w:lineRule="exact"/>
        <w:ind w:firstLineChars="200" w:firstLine="643"/>
        <w:rPr>
          <w:rFonts w:ascii="仿宋_GB2312" w:eastAsia="仿宋_GB2312" w:hAnsi="仿宋_GB2312" w:cs="仿宋_GB2312"/>
          <w:sz w:val="32"/>
          <w:szCs w:val="32"/>
        </w:rPr>
      </w:pPr>
      <w:r w:rsidRPr="00BA7CFD">
        <w:rPr>
          <w:rFonts w:ascii="楷体_GB2312" w:eastAsia="楷体_GB2312" w:hAnsi="楷体_GB2312" w:cs="楷体_GB2312" w:hint="eastAsia"/>
          <w:b/>
          <w:bCs/>
          <w:sz w:val="32"/>
          <w:szCs w:val="32"/>
        </w:rPr>
        <w:t>（三）狠抓设施配套，增强承载功能。</w:t>
      </w:r>
      <w:r w:rsidRPr="00BA7CFD">
        <w:rPr>
          <w:rFonts w:ascii="仿宋_GB2312" w:eastAsia="仿宋_GB2312" w:hAnsi="仿宋_GB2312" w:cs="仿宋_GB2312" w:hint="eastAsia"/>
          <w:sz w:val="32"/>
          <w:szCs w:val="32"/>
        </w:rPr>
        <w:t>加快完善基础设施建设，打造优良“硬环境”。计划投资6717.99万元，实施道路工程7项，新建（改造）道路8.19公里，全面完善园区路网框架。加快循环经济示范园供水厂建设，确保年内实现供水。加快园区输电线路及变电站建设，并对现有电网进行改造升级，从源头解决电网负荷不足影响企业发展、项目落地的问题。</w:t>
      </w:r>
    </w:p>
    <w:p w:rsidR="004C6E80" w:rsidRPr="00BA7CFD" w:rsidRDefault="00BA7CFD" w:rsidP="00815B06">
      <w:pPr>
        <w:spacing w:line="560" w:lineRule="exact"/>
        <w:ind w:firstLineChars="200" w:firstLine="643"/>
        <w:rPr>
          <w:rFonts w:ascii="仿宋_GB2312" w:eastAsia="仿宋_GB2312" w:hAnsi="仿宋_GB2312" w:cs="仿宋_GB2312"/>
          <w:sz w:val="32"/>
          <w:szCs w:val="32"/>
        </w:rPr>
      </w:pPr>
      <w:r w:rsidRPr="00BA7CFD">
        <w:rPr>
          <w:rFonts w:ascii="楷体_GB2312" w:eastAsia="楷体_GB2312" w:hAnsi="楷体_GB2312" w:cs="楷体_GB2312" w:hint="eastAsia"/>
          <w:b/>
          <w:bCs/>
          <w:sz w:val="32"/>
          <w:szCs w:val="32"/>
        </w:rPr>
        <w:t>（四）狠抓产业培育，夯实工业基础。</w:t>
      </w:r>
      <w:r w:rsidRPr="00BA7CFD">
        <w:rPr>
          <w:rFonts w:ascii="仿宋_GB2312" w:eastAsia="仿宋_GB2312" w:hAnsi="仿宋_GB2312" w:cs="仿宋_GB2312" w:hint="eastAsia"/>
          <w:sz w:val="32"/>
          <w:szCs w:val="32"/>
        </w:rPr>
        <w:t>立足“2+6”产业基础，做足延链补链强链文章，持续壮大特色产业集群，打造经济高质量发展新引擎。计划新培育省级创新型中小企业5户、规上工业企业8户、高新技术企业6户以上（含复审）、专精特新企业2户以上；计划扶持产值亿元以上</w:t>
      </w:r>
      <w:r w:rsidRPr="00BA7CFD">
        <w:rPr>
          <w:rFonts w:ascii="仿宋_GB2312" w:eastAsia="仿宋_GB2312" w:hAnsi="仿宋_GB2312" w:cs="仿宋_GB2312" w:hint="eastAsia"/>
          <w:spacing w:val="-11"/>
          <w:sz w:val="32"/>
          <w:szCs w:val="32"/>
        </w:rPr>
        <w:t>企业5户、产值5亿元以上企业2户、产值10亿元以上企业1户。</w:t>
      </w:r>
    </w:p>
    <w:p w:rsidR="004C6E80" w:rsidRPr="00BA7CFD" w:rsidRDefault="00BA7CFD" w:rsidP="00815B06">
      <w:pPr>
        <w:pStyle w:val="6"/>
        <w:spacing w:line="560" w:lineRule="exact"/>
        <w:ind w:firstLine="722"/>
        <w:rPr>
          <w:rFonts w:ascii="仿宋_GB2312" w:eastAsia="仿宋_GB2312" w:hAnsi="仿宋_GB2312" w:cs="仿宋_GB2312"/>
          <w:color w:val="000000"/>
          <w:sz w:val="32"/>
          <w:szCs w:val="32"/>
        </w:rPr>
      </w:pPr>
      <w:r>
        <w:rPr>
          <w:rFonts w:ascii="仿宋_GB2312" w:eastAsia="仿宋_GB2312" w:hAnsi="楷体_GB2312" w:cs="楷体_GB2312" w:hint="eastAsia"/>
          <w:b/>
          <w:bCs/>
          <w:sz w:val="32"/>
          <w:szCs w:val="32"/>
        </w:rPr>
        <w:t>（</w:t>
      </w:r>
      <w:r w:rsidRPr="00BA7CFD">
        <w:rPr>
          <w:rFonts w:ascii="楷体_GB2312" w:eastAsia="楷体_GB2312" w:hAnsi="楷体_GB2312" w:cs="楷体_GB2312" w:hint="eastAsia"/>
          <w:b/>
          <w:bCs/>
          <w:sz w:val="32"/>
          <w:szCs w:val="32"/>
        </w:rPr>
        <w:t>五）狠抓综评考核，提升考核排名。</w:t>
      </w:r>
      <w:r w:rsidRPr="00BA7CFD">
        <w:rPr>
          <w:rFonts w:ascii="仿宋_GB2312" w:eastAsia="仿宋_GB2312" w:hAnsi="仿宋_GB2312" w:cs="仿宋_GB2312" w:hint="eastAsia"/>
          <w:color w:val="000000"/>
          <w:sz w:val="32"/>
          <w:szCs w:val="32"/>
        </w:rPr>
        <w:t>对标国家级经开区综评考核指标体系，提前做好综评考核工作，逐项制定目标数值，全过程、动态化跟踪推进，确保各项指标有突破、有提升。紧盯经济整体实力不强、外向型经济水平较低、科技创新能力弱等短板不足，攻坚提升，确保2025年国家综评考核排名再有提升。</w:t>
      </w:r>
    </w:p>
    <w:p w:rsidR="004C6E80" w:rsidRPr="00BA7CFD" w:rsidRDefault="00BA7CFD" w:rsidP="00815B06">
      <w:pPr>
        <w:pStyle w:val="a6"/>
        <w:widowControl/>
        <w:spacing w:line="560" w:lineRule="exact"/>
        <w:ind w:firstLineChars="200" w:firstLine="643"/>
        <w:jc w:val="both"/>
        <w:rPr>
          <w:rFonts w:ascii="仿宋_GB2312" w:eastAsia="仿宋_GB2312" w:hAnsi="楷体_GB2312" w:cs="楷体_GB2312"/>
          <w:snapToGrid w:val="0"/>
          <w:sz w:val="32"/>
          <w:szCs w:val="32"/>
        </w:rPr>
      </w:pPr>
      <w:r w:rsidRPr="00BA7CFD">
        <w:rPr>
          <w:rFonts w:ascii="楷体_GB2312" w:eastAsia="楷体_GB2312" w:hAnsi="楷体_GB2312" w:cs="楷体_GB2312" w:hint="eastAsia"/>
          <w:b/>
          <w:bCs/>
          <w:kern w:val="2"/>
          <w:sz w:val="32"/>
          <w:szCs w:val="32"/>
        </w:rPr>
        <w:t>（六）狠抓营商环境，厚植发展优势。</w:t>
      </w:r>
      <w:r w:rsidRPr="00BA7CFD">
        <w:rPr>
          <w:rFonts w:ascii="仿宋_GB2312" w:eastAsia="仿宋_GB2312" w:hAnsi="楷体_GB2312" w:cs="楷体_GB2312" w:hint="eastAsia"/>
          <w:snapToGrid w:val="0"/>
          <w:sz w:val="32"/>
          <w:szCs w:val="32"/>
        </w:rPr>
        <w:t>加大3个企业服务中心“零距离”服务企业力度，</w:t>
      </w:r>
      <w:r w:rsidRPr="00BA7CFD">
        <w:rPr>
          <w:rFonts w:ascii="仿宋_GB2312" w:eastAsia="仿宋_GB2312" w:hAnsi="仿宋_GB2312" w:cs="仿宋_GB2312" w:hint="eastAsia"/>
          <w:color w:val="000000"/>
          <w:kern w:val="2"/>
          <w:sz w:val="32"/>
          <w:szCs w:val="32"/>
        </w:rPr>
        <w:t>“店小二”“保姆式”帮办代办，</w:t>
      </w:r>
      <w:r w:rsidRPr="00BA7CFD">
        <w:rPr>
          <w:rFonts w:ascii="仿宋_GB2312" w:eastAsia="仿宋_GB2312" w:hAnsi="楷体_GB2312" w:cs="楷体_GB2312" w:hint="eastAsia"/>
          <w:snapToGrid w:val="0"/>
          <w:sz w:val="32"/>
          <w:szCs w:val="32"/>
        </w:rPr>
        <w:lastRenderedPageBreak/>
        <w:t>及时解决项目落地要素保障问题。</w:t>
      </w:r>
      <w:r w:rsidRPr="00BA7CFD">
        <w:rPr>
          <w:rFonts w:ascii="仿宋_GB2312" w:eastAsia="仿宋_GB2312" w:hAnsi="仿宋_GB2312" w:cs="仿宋_GB2312" w:hint="eastAsia"/>
          <w:color w:val="000000"/>
          <w:kern w:val="2"/>
          <w:sz w:val="32"/>
          <w:szCs w:val="32"/>
        </w:rPr>
        <w:t>持续</w:t>
      </w:r>
      <w:r w:rsidRPr="00BA7CFD">
        <w:rPr>
          <w:rFonts w:ascii="仿宋_GB2312" w:eastAsia="仿宋_GB2312" w:hAnsi="楷体_GB2312" w:cs="楷体_GB2312" w:hint="eastAsia"/>
          <w:snapToGrid w:val="0"/>
          <w:sz w:val="32"/>
          <w:szCs w:val="32"/>
        </w:rPr>
        <w:t>提升“一站式”服务水平，</w:t>
      </w:r>
      <w:r w:rsidRPr="00BA7CFD">
        <w:rPr>
          <w:rFonts w:ascii="仿宋_GB2312" w:eastAsia="仿宋_GB2312" w:hAnsi="仿宋_GB2312" w:cs="仿宋_GB2312" w:hint="eastAsia"/>
          <w:sz w:val="32"/>
          <w:szCs w:val="32"/>
        </w:rPr>
        <w:t>多措并举优化投资环境，</w:t>
      </w:r>
      <w:r w:rsidRPr="00BA7CFD">
        <w:rPr>
          <w:rFonts w:ascii="仿宋_GB2312" w:eastAsia="仿宋_GB2312" w:hAnsi="楷体_GB2312" w:cs="楷体_GB2312" w:hint="eastAsia"/>
          <w:snapToGrid w:val="0"/>
          <w:sz w:val="32"/>
          <w:szCs w:val="32"/>
        </w:rPr>
        <w:t>进一步完善创新发展政策体系，促进要素向园区集约、项目向园区集中、产业向园区集群，最大努力</w:t>
      </w:r>
      <w:r w:rsidRPr="00BA7CFD">
        <w:rPr>
          <w:rFonts w:ascii="仿宋_GB2312" w:eastAsia="仿宋_GB2312" w:hAnsi="仿宋_GB2312" w:cs="仿宋_GB2312" w:hint="eastAsia"/>
          <w:color w:val="000000"/>
          <w:sz w:val="32"/>
          <w:szCs w:val="32"/>
          <w:shd w:val="clear" w:color="auto" w:fill="FFFFFF"/>
        </w:rPr>
        <w:t>助推全市工业经济实现高质量发展</w:t>
      </w:r>
      <w:r w:rsidRPr="00BA7CFD">
        <w:rPr>
          <w:rFonts w:ascii="仿宋_GB2312" w:eastAsia="仿宋_GB2312" w:hAnsi="楷体_GB2312" w:cs="楷体_GB2312" w:hint="eastAsia"/>
          <w:snapToGrid w:val="0"/>
          <w:sz w:val="32"/>
          <w:szCs w:val="32"/>
        </w:rPr>
        <w:t>。</w:t>
      </w:r>
    </w:p>
    <w:p w:rsidR="004C6E80" w:rsidRPr="00BA7CFD" w:rsidRDefault="004C6E80" w:rsidP="00815B06">
      <w:pPr>
        <w:pStyle w:val="a6"/>
        <w:widowControl/>
        <w:spacing w:line="560" w:lineRule="exact"/>
        <w:ind w:firstLineChars="1200" w:firstLine="3840"/>
        <w:jc w:val="both"/>
        <w:rPr>
          <w:rFonts w:ascii="仿宋_GB2312" w:eastAsia="仿宋_GB2312" w:hAnsi="楷体_GB2312" w:cs="楷体_GB2312"/>
          <w:snapToGrid w:val="0"/>
          <w:sz w:val="32"/>
          <w:szCs w:val="32"/>
        </w:rPr>
      </w:pPr>
    </w:p>
    <w:p w:rsidR="004C6E80" w:rsidRDefault="004C6E80" w:rsidP="00815B06">
      <w:pPr>
        <w:pStyle w:val="2"/>
        <w:spacing w:line="560" w:lineRule="exact"/>
      </w:pPr>
    </w:p>
    <w:p w:rsidR="004C6E80" w:rsidRDefault="004C6E80" w:rsidP="00815B06">
      <w:pPr>
        <w:pStyle w:val="6"/>
        <w:spacing w:line="560" w:lineRule="exact"/>
        <w:rPr>
          <w:rFonts w:ascii="仿宋_GB2312" w:eastAsia="仿宋_GB2312" w:hAnsi="仿宋_GB2312" w:cs="仿宋_GB2312"/>
          <w:sz w:val="32"/>
          <w:szCs w:val="32"/>
        </w:rPr>
      </w:pPr>
    </w:p>
    <w:sectPr w:rsidR="004C6E80" w:rsidSect="004814B9">
      <w:headerReference w:type="default" r:id="rId8"/>
      <w:footerReference w:type="default" r:id="rId9"/>
      <w:pgSz w:w="11906" w:h="16838"/>
      <w:pgMar w:top="2098" w:right="1474" w:bottom="1985" w:left="1588" w:header="851" w:footer="992" w:gutter="0"/>
      <w:pgNumType w:fmt="numberInDash" w:start="44"/>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5E8" w:rsidRDefault="00B035E8" w:rsidP="004C6E80">
      <w:r>
        <w:separator/>
      </w:r>
    </w:p>
  </w:endnote>
  <w:endnote w:type="continuationSeparator" w:id="0">
    <w:p w:rsidR="00B035E8" w:rsidRDefault="00B035E8" w:rsidP="004C6E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35E8" w:rsidRDefault="00643B15" w:rsidP="004814B9">
    <w:pPr>
      <w:pStyle w:val="a4"/>
    </w:pPr>
    <w:r>
      <w:rPr>
        <w:noProof w:val="0"/>
      </w:rPr>
      <w:pict>
        <v:shapetype id="_x0000_t202" coordsize="21600,21600" o:spt="202" path="m,l,21600r21600,l21600,xe">
          <v:stroke joinstyle="miter"/>
          <v:path gradientshapeok="t" o:connecttype="rect"/>
        </v:shapetype>
        <v:shape id="_x0000_s4097" type="#_x0000_t202" style="position:absolute;margin-left:0;margin-top:0;width:2in;height:2in;z-index:251659264;mso-wrap-style:none;mso-position-horizontal:center;mso-position-horizontal-relative:margin;mso-width-relative:page;mso-height-relative:page" filled="f" stroked="f">
          <v:textbox style="mso-fit-shape-to-text:t" inset="0,0,0,0">
            <w:txbxContent>
              <w:p w:rsidR="00B035E8" w:rsidRPr="004814B9" w:rsidRDefault="00643B15" w:rsidP="004814B9">
                <w:pPr>
                  <w:pStyle w:val="a4"/>
                </w:pPr>
                <w:fldSimple w:instr=" PAGE  \* MERGEFORMAT ">
                  <w:r w:rsidR="004814B9">
                    <w:t>- 48 -</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5E8" w:rsidRDefault="00B035E8" w:rsidP="004C6E80">
      <w:r>
        <w:separator/>
      </w:r>
    </w:p>
  </w:footnote>
  <w:footnote w:type="continuationSeparator" w:id="0">
    <w:p w:rsidR="00B035E8" w:rsidRDefault="00B035E8" w:rsidP="004C6E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35E8" w:rsidRDefault="00B035E8">
    <w:pPr>
      <w:pStyle w:val="a5"/>
      <w:pBdr>
        <w:bottom w:val="none" w:sz="0" w:space="0" w:color="auto"/>
      </w:pBd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570E4F"/>
    <w:multiLevelType w:val="singleLevel"/>
    <w:tmpl w:val="42570E4F"/>
    <w:lvl w:ilvl="0">
      <w:start w:val="1"/>
      <w:numFmt w:val="decimal"/>
      <w:lvlText w:val="%1."/>
      <w:lvlJc w:val="left"/>
      <w:pPr>
        <w:tabs>
          <w:tab w:val="left" w:pos="312"/>
        </w:tabs>
        <w:ind w:left="800" w:firstLine="0"/>
      </w:pPr>
    </w:lvl>
  </w:abstractNum>
  <w:abstractNum w:abstractNumId="1">
    <w:nsid w:val="799C329C"/>
    <w:multiLevelType w:val="singleLevel"/>
    <w:tmpl w:val="799C329C"/>
    <w:lvl w:ilvl="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5122"/>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NGFjMTZkNjcxYzUzOTNlNWQ4YTAyZTk4OTE3YTQ2MjMifQ=="/>
  </w:docVars>
  <w:rsids>
    <w:rsidRoot w:val="00754E89"/>
    <w:rsid w:val="000002DC"/>
    <w:rsid w:val="00002931"/>
    <w:rsid w:val="00016DCB"/>
    <w:rsid w:val="00020DF7"/>
    <w:rsid w:val="000237DF"/>
    <w:rsid w:val="000928FA"/>
    <w:rsid w:val="000A24D6"/>
    <w:rsid w:val="000F628B"/>
    <w:rsid w:val="000F76E4"/>
    <w:rsid w:val="0010455A"/>
    <w:rsid w:val="00174A33"/>
    <w:rsid w:val="00177D62"/>
    <w:rsid w:val="00180F5A"/>
    <w:rsid w:val="00190748"/>
    <w:rsid w:val="001C63E9"/>
    <w:rsid w:val="001E40FE"/>
    <w:rsid w:val="00216ED9"/>
    <w:rsid w:val="00251FE6"/>
    <w:rsid w:val="002539EE"/>
    <w:rsid w:val="00260E4D"/>
    <w:rsid w:val="00280E59"/>
    <w:rsid w:val="002E2800"/>
    <w:rsid w:val="00324503"/>
    <w:rsid w:val="00347733"/>
    <w:rsid w:val="003970FF"/>
    <w:rsid w:val="00414D59"/>
    <w:rsid w:val="004220BD"/>
    <w:rsid w:val="004635E5"/>
    <w:rsid w:val="00473D9E"/>
    <w:rsid w:val="004814B9"/>
    <w:rsid w:val="00496FE0"/>
    <w:rsid w:val="004C1125"/>
    <w:rsid w:val="004C6E80"/>
    <w:rsid w:val="00512169"/>
    <w:rsid w:val="00513E9E"/>
    <w:rsid w:val="00584B93"/>
    <w:rsid w:val="005A3C82"/>
    <w:rsid w:val="005D295A"/>
    <w:rsid w:val="00643B15"/>
    <w:rsid w:val="00690C55"/>
    <w:rsid w:val="006B57EF"/>
    <w:rsid w:val="006C35C1"/>
    <w:rsid w:val="006C38BA"/>
    <w:rsid w:val="006E2CF1"/>
    <w:rsid w:val="00723FDA"/>
    <w:rsid w:val="00740DE0"/>
    <w:rsid w:val="00754E89"/>
    <w:rsid w:val="00775AFC"/>
    <w:rsid w:val="007775AF"/>
    <w:rsid w:val="007C42C7"/>
    <w:rsid w:val="007D17AF"/>
    <w:rsid w:val="007D7D42"/>
    <w:rsid w:val="00801F58"/>
    <w:rsid w:val="00815B06"/>
    <w:rsid w:val="00826659"/>
    <w:rsid w:val="00826A7C"/>
    <w:rsid w:val="00850E66"/>
    <w:rsid w:val="00852E29"/>
    <w:rsid w:val="0087182E"/>
    <w:rsid w:val="008C70FD"/>
    <w:rsid w:val="008E2F9E"/>
    <w:rsid w:val="009750D1"/>
    <w:rsid w:val="009815BB"/>
    <w:rsid w:val="00987E89"/>
    <w:rsid w:val="009A09CE"/>
    <w:rsid w:val="009E2F6D"/>
    <w:rsid w:val="009F0D71"/>
    <w:rsid w:val="00A132CB"/>
    <w:rsid w:val="00A31CFD"/>
    <w:rsid w:val="00A372C7"/>
    <w:rsid w:val="00A83B0F"/>
    <w:rsid w:val="00AB6579"/>
    <w:rsid w:val="00AB6E28"/>
    <w:rsid w:val="00B035E8"/>
    <w:rsid w:val="00B05B35"/>
    <w:rsid w:val="00B05B91"/>
    <w:rsid w:val="00B13963"/>
    <w:rsid w:val="00B36C0E"/>
    <w:rsid w:val="00B56323"/>
    <w:rsid w:val="00BA7CFD"/>
    <w:rsid w:val="00C154F2"/>
    <w:rsid w:val="00C301A5"/>
    <w:rsid w:val="00C31678"/>
    <w:rsid w:val="00C36E5B"/>
    <w:rsid w:val="00C5161A"/>
    <w:rsid w:val="00C92A4B"/>
    <w:rsid w:val="00C93CAB"/>
    <w:rsid w:val="00C940E1"/>
    <w:rsid w:val="00CA5BA0"/>
    <w:rsid w:val="00CE5765"/>
    <w:rsid w:val="00D64329"/>
    <w:rsid w:val="00DD569A"/>
    <w:rsid w:val="00DF7D7A"/>
    <w:rsid w:val="00F325C0"/>
    <w:rsid w:val="00F87229"/>
    <w:rsid w:val="00F943EC"/>
    <w:rsid w:val="00FA16E5"/>
    <w:rsid w:val="00FC51E2"/>
    <w:rsid w:val="00FF262C"/>
    <w:rsid w:val="022D3CD0"/>
    <w:rsid w:val="060E1D23"/>
    <w:rsid w:val="0AC30350"/>
    <w:rsid w:val="0BE932E7"/>
    <w:rsid w:val="0C1F3035"/>
    <w:rsid w:val="0DC70957"/>
    <w:rsid w:val="0E420E0E"/>
    <w:rsid w:val="0EED03C3"/>
    <w:rsid w:val="14034603"/>
    <w:rsid w:val="18660E62"/>
    <w:rsid w:val="18A618C8"/>
    <w:rsid w:val="19476AF1"/>
    <w:rsid w:val="1AC217DA"/>
    <w:rsid w:val="1D4A5366"/>
    <w:rsid w:val="1F95570F"/>
    <w:rsid w:val="20A37613"/>
    <w:rsid w:val="266C303E"/>
    <w:rsid w:val="29263A13"/>
    <w:rsid w:val="29A13BC0"/>
    <w:rsid w:val="2B8A43D1"/>
    <w:rsid w:val="2D2105E2"/>
    <w:rsid w:val="2E412E03"/>
    <w:rsid w:val="30D54A70"/>
    <w:rsid w:val="30D83D34"/>
    <w:rsid w:val="30ED4EF1"/>
    <w:rsid w:val="31964C9C"/>
    <w:rsid w:val="32192170"/>
    <w:rsid w:val="33B7315F"/>
    <w:rsid w:val="34056102"/>
    <w:rsid w:val="346A68AE"/>
    <w:rsid w:val="34E6283D"/>
    <w:rsid w:val="35795D1F"/>
    <w:rsid w:val="37E15357"/>
    <w:rsid w:val="381864A3"/>
    <w:rsid w:val="394910A9"/>
    <w:rsid w:val="3A4D30CD"/>
    <w:rsid w:val="3BA46AC3"/>
    <w:rsid w:val="3C425FA0"/>
    <w:rsid w:val="3E4F1085"/>
    <w:rsid w:val="3FFB7510"/>
    <w:rsid w:val="40B3491A"/>
    <w:rsid w:val="41300C9D"/>
    <w:rsid w:val="422F5A9D"/>
    <w:rsid w:val="438A0105"/>
    <w:rsid w:val="43DE6A6B"/>
    <w:rsid w:val="43FD725B"/>
    <w:rsid w:val="44721EAC"/>
    <w:rsid w:val="44F81395"/>
    <w:rsid w:val="478704A5"/>
    <w:rsid w:val="47DB4F7E"/>
    <w:rsid w:val="49BC286D"/>
    <w:rsid w:val="4A0D29A3"/>
    <w:rsid w:val="4B83098E"/>
    <w:rsid w:val="4C0D42BA"/>
    <w:rsid w:val="4C6270A7"/>
    <w:rsid w:val="4CBB35AF"/>
    <w:rsid w:val="4E9F0F35"/>
    <w:rsid w:val="4EC37A96"/>
    <w:rsid w:val="4F005421"/>
    <w:rsid w:val="50CB2C50"/>
    <w:rsid w:val="55263258"/>
    <w:rsid w:val="56B27905"/>
    <w:rsid w:val="56BC7955"/>
    <w:rsid w:val="574B6AA4"/>
    <w:rsid w:val="588502C1"/>
    <w:rsid w:val="5A626588"/>
    <w:rsid w:val="5AB14E9C"/>
    <w:rsid w:val="5D104520"/>
    <w:rsid w:val="5DC5365C"/>
    <w:rsid w:val="5EB61570"/>
    <w:rsid w:val="5EE90C6B"/>
    <w:rsid w:val="5FC74CC2"/>
    <w:rsid w:val="611A1845"/>
    <w:rsid w:val="650A7F98"/>
    <w:rsid w:val="66397349"/>
    <w:rsid w:val="66693125"/>
    <w:rsid w:val="67684FF1"/>
    <w:rsid w:val="693E3331"/>
    <w:rsid w:val="6B49240B"/>
    <w:rsid w:val="6BF42655"/>
    <w:rsid w:val="6CBC7404"/>
    <w:rsid w:val="6ECC3702"/>
    <w:rsid w:val="6FF837CA"/>
    <w:rsid w:val="72640322"/>
    <w:rsid w:val="727E73F7"/>
    <w:rsid w:val="73886292"/>
    <w:rsid w:val="739C204F"/>
    <w:rsid w:val="74B06C06"/>
    <w:rsid w:val="77234C47"/>
    <w:rsid w:val="77EE1ED0"/>
    <w:rsid w:val="799F350D"/>
    <w:rsid w:val="7A2443D5"/>
    <w:rsid w:val="7A4642E6"/>
    <w:rsid w:val="7A611D04"/>
    <w:rsid w:val="7B087CB8"/>
    <w:rsid w:val="7BFA2EC5"/>
    <w:rsid w:val="7BFD5CBE"/>
    <w:rsid w:val="7F0867D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9"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6"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nhideWhenUsed="0" w:qFormat="1"/>
    <w:lsdException w:name="footer" w:unhideWhenUsed="0" w:qFormat="1"/>
    <w:lsdException w:name="caption" w:locked="1" w:uiPriority="0" w:qFormat="1"/>
    <w:lsdException w:name="Title" w:locked="1" w:semiHidden="0" w:uiPriority="0" w:unhideWhenUsed="0" w:qFormat="1"/>
    <w:lsdException w:name="Default Paragraph Font" w:uiPriority="1" w:qFormat="1"/>
    <w:lsdException w:name="Body Text" w:uiPriority="0" w:unhideWhenUsed="0" w:qFormat="1"/>
    <w:lsdException w:name="Subtitle" w:locked="1" w:semiHidden="0" w:uiPriority="0" w:unhideWhenUsed="0" w:qFormat="1"/>
    <w:lsdException w:name="Body Text Indent 2" w:semiHidden="0" w:unhideWhenUsed="0" w:qFormat="1"/>
    <w:lsdException w:name="Hyperlink" w:qFormat="1"/>
    <w:lsdException w:name="FollowedHyperlink" w:qFormat="1"/>
    <w:lsdException w:name="Strong" w:locked="1" w:semiHidden="0" w:uiPriority="0" w:unhideWhenUsed="0" w:qFormat="1"/>
    <w:lsdException w:name="Emphasis" w:locked="1" w:semiHidden="0" w:uiPriority="0" w:unhideWhenUsed="0" w:qFormat="1"/>
    <w:lsdException w:name="Normal (Web)" w:qFormat="1"/>
    <w:lsdException w:name="Normal Table"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E80"/>
    <w:pPr>
      <w:widowControl w:val="0"/>
      <w:jc w:val="both"/>
    </w:pPr>
    <w:rPr>
      <w:kern w:val="2"/>
      <w:sz w:val="21"/>
      <w:szCs w:val="21"/>
    </w:rPr>
  </w:style>
  <w:style w:type="paragraph" w:styleId="1">
    <w:name w:val="heading 1"/>
    <w:basedOn w:val="a"/>
    <w:next w:val="a"/>
    <w:uiPriority w:val="9"/>
    <w:qFormat/>
    <w:locked/>
    <w:rsid w:val="004C6E80"/>
    <w:pPr>
      <w:spacing w:line="587" w:lineRule="exact"/>
      <w:ind w:firstLineChars="200" w:firstLine="640"/>
      <w:jc w:val="left"/>
      <w:outlineLvl w:val="0"/>
    </w:pPr>
    <w:rPr>
      <w:rFonts w:ascii="宋体" w:eastAsia="Arial Unicode MS" w:hAnsi="宋体" w:hint="eastAsia"/>
      <w:b/>
      <w:kern w:val="44"/>
      <w:sz w:val="36"/>
      <w:szCs w:val="48"/>
    </w:rPr>
  </w:style>
  <w:style w:type="paragraph" w:styleId="3">
    <w:name w:val="heading 3"/>
    <w:basedOn w:val="a"/>
    <w:next w:val="a"/>
    <w:link w:val="3Char"/>
    <w:autoRedefine/>
    <w:uiPriority w:val="99"/>
    <w:qFormat/>
    <w:locked/>
    <w:rsid w:val="004C6E80"/>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6">
    <w:name w:val="index 6"/>
    <w:basedOn w:val="a"/>
    <w:next w:val="a"/>
    <w:autoRedefine/>
    <w:qFormat/>
    <w:rsid w:val="004C6E80"/>
  </w:style>
  <w:style w:type="paragraph" w:styleId="a3">
    <w:name w:val="Body Text"/>
    <w:basedOn w:val="a"/>
    <w:autoRedefine/>
    <w:semiHidden/>
    <w:qFormat/>
    <w:rsid w:val="004C6E80"/>
    <w:rPr>
      <w:rFonts w:ascii="仿宋" w:eastAsia="仿宋" w:hAnsi="仿宋" w:cs="仿宋"/>
      <w:sz w:val="31"/>
      <w:szCs w:val="31"/>
      <w:lang w:eastAsia="en-US"/>
    </w:rPr>
  </w:style>
  <w:style w:type="paragraph" w:styleId="2">
    <w:name w:val="Body Text Indent 2"/>
    <w:basedOn w:val="a"/>
    <w:next w:val="a"/>
    <w:autoRedefine/>
    <w:uiPriority w:val="99"/>
    <w:qFormat/>
    <w:rsid w:val="004C6E80"/>
    <w:pPr>
      <w:spacing w:after="120" w:line="480" w:lineRule="auto"/>
      <w:ind w:leftChars="200" w:left="420"/>
    </w:pPr>
  </w:style>
  <w:style w:type="paragraph" w:styleId="a4">
    <w:name w:val="footer"/>
    <w:basedOn w:val="a"/>
    <w:link w:val="Char"/>
    <w:autoRedefine/>
    <w:uiPriority w:val="99"/>
    <w:semiHidden/>
    <w:qFormat/>
    <w:rsid w:val="004814B9"/>
    <w:pPr>
      <w:tabs>
        <w:tab w:val="center" w:pos="4153"/>
        <w:tab w:val="right" w:pos="8306"/>
      </w:tabs>
      <w:snapToGrid w:val="0"/>
      <w:jc w:val="left"/>
    </w:pPr>
    <w:rPr>
      <w:rFonts w:asciiTheme="minorEastAsia" w:eastAsiaTheme="minorEastAsia" w:hAnsiTheme="minorEastAsia" w:cs="Calibri"/>
      <w:noProof/>
      <w:sz w:val="28"/>
      <w:szCs w:val="28"/>
    </w:rPr>
  </w:style>
  <w:style w:type="paragraph" w:styleId="a5">
    <w:name w:val="header"/>
    <w:basedOn w:val="a"/>
    <w:link w:val="Char0"/>
    <w:autoRedefine/>
    <w:uiPriority w:val="99"/>
    <w:semiHidden/>
    <w:qFormat/>
    <w:rsid w:val="004C6E80"/>
    <w:pPr>
      <w:pBdr>
        <w:bottom w:val="single" w:sz="6" w:space="1" w:color="auto"/>
      </w:pBdr>
      <w:tabs>
        <w:tab w:val="center" w:pos="4153"/>
        <w:tab w:val="right" w:pos="8306"/>
      </w:tabs>
      <w:snapToGrid w:val="0"/>
      <w:jc w:val="center"/>
    </w:pPr>
    <w:rPr>
      <w:rFonts w:ascii="Calibri" w:hAnsi="Calibri" w:cs="Calibri"/>
      <w:sz w:val="18"/>
      <w:szCs w:val="18"/>
    </w:rPr>
  </w:style>
  <w:style w:type="paragraph" w:styleId="a6">
    <w:name w:val="Normal (Web)"/>
    <w:basedOn w:val="a"/>
    <w:autoRedefine/>
    <w:uiPriority w:val="99"/>
    <w:semiHidden/>
    <w:unhideWhenUsed/>
    <w:qFormat/>
    <w:rsid w:val="004C6E80"/>
    <w:pPr>
      <w:jc w:val="left"/>
    </w:pPr>
    <w:rPr>
      <w:kern w:val="0"/>
      <w:sz w:val="24"/>
    </w:rPr>
  </w:style>
  <w:style w:type="character" w:styleId="a7">
    <w:name w:val="FollowedHyperlink"/>
    <w:basedOn w:val="a0"/>
    <w:autoRedefine/>
    <w:uiPriority w:val="99"/>
    <w:semiHidden/>
    <w:unhideWhenUsed/>
    <w:qFormat/>
    <w:rsid w:val="004C6E80"/>
    <w:rPr>
      <w:color w:val="333333"/>
      <w:sz w:val="24"/>
      <w:szCs w:val="24"/>
      <w:u w:val="none"/>
    </w:rPr>
  </w:style>
  <w:style w:type="character" w:styleId="a8">
    <w:name w:val="Emphasis"/>
    <w:basedOn w:val="a0"/>
    <w:autoRedefine/>
    <w:qFormat/>
    <w:locked/>
    <w:rsid w:val="004C6E80"/>
    <w:rPr>
      <w:color w:val="333333"/>
      <w:sz w:val="24"/>
      <w:szCs w:val="24"/>
    </w:rPr>
  </w:style>
  <w:style w:type="character" w:styleId="a9">
    <w:name w:val="Hyperlink"/>
    <w:basedOn w:val="a0"/>
    <w:autoRedefine/>
    <w:uiPriority w:val="99"/>
    <w:semiHidden/>
    <w:unhideWhenUsed/>
    <w:qFormat/>
    <w:rsid w:val="004C6E80"/>
    <w:rPr>
      <w:color w:val="333333"/>
      <w:u w:val="none"/>
    </w:rPr>
  </w:style>
  <w:style w:type="character" w:customStyle="1" w:styleId="3Char">
    <w:name w:val="标题 3 Char"/>
    <w:basedOn w:val="a0"/>
    <w:link w:val="3"/>
    <w:autoRedefine/>
    <w:uiPriority w:val="99"/>
    <w:semiHidden/>
    <w:qFormat/>
    <w:locked/>
    <w:rsid w:val="004C6E80"/>
    <w:rPr>
      <w:rFonts w:ascii="Times New Roman" w:hAnsi="Times New Roman" w:cs="Times New Roman"/>
      <w:b/>
      <w:bCs/>
      <w:sz w:val="32"/>
      <w:szCs w:val="32"/>
    </w:rPr>
  </w:style>
  <w:style w:type="character" w:customStyle="1" w:styleId="Char0">
    <w:name w:val="页眉 Char"/>
    <w:basedOn w:val="a0"/>
    <w:link w:val="a5"/>
    <w:autoRedefine/>
    <w:uiPriority w:val="99"/>
    <w:semiHidden/>
    <w:qFormat/>
    <w:locked/>
    <w:rsid w:val="004C6E80"/>
    <w:rPr>
      <w:sz w:val="18"/>
      <w:szCs w:val="18"/>
    </w:rPr>
  </w:style>
  <w:style w:type="character" w:customStyle="1" w:styleId="Char">
    <w:name w:val="页脚 Char"/>
    <w:basedOn w:val="a0"/>
    <w:link w:val="a4"/>
    <w:autoRedefine/>
    <w:uiPriority w:val="99"/>
    <w:semiHidden/>
    <w:qFormat/>
    <w:locked/>
    <w:rsid w:val="004814B9"/>
    <w:rPr>
      <w:rFonts w:asciiTheme="minorEastAsia" w:eastAsiaTheme="minorEastAsia" w:hAnsiTheme="minorEastAsia" w:cs="Calibri"/>
      <w:noProof/>
      <w:kern w:val="2"/>
      <w:sz w:val="28"/>
      <w:szCs w:val="28"/>
    </w:rPr>
  </w:style>
  <w:style w:type="paragraph" w:styleId="aa">
    <w:name w:val="List Paragraph"/>
    <w:basedOn w:val="a"/>
    <w:autoRedefine/>
    <w:uiPriority w:val="99"/>
    <w:qFormat/>
    <w:rsid w:val="004C6E80"/>
    <w:pPr>
      <w:ind w:firstLineChars="200" w:firstLine="420"/>
    </w:pPr>
  </w:style>
  <w:style w:type="character" w:customStyle="1" w:styleId="last-child1">
    <w:name w:val="last-child1"/>
    <w:basedOn w:val="a0"/>
    <w:autoRedefine/>
    <w:qFormat/>
    <w:rsid w:val="004C6E80"/>
  </w:style>
  <w:style w:type="character" w:customStyle="1" w:styleId="hover18">
    <w:name w:val="hover18"/>
    <w:basedOn w:val="a0"/>
    <w:qFormat/>
    <w:rsid w:val="004C6E80"/>
  </w:style>
  <w:style w:type="character" w:customStyle="1" w:styleId="hover19">
    <w:name w:val="hover19"/>
    <w:basedOn w:val="a0"/>
    <w:autoRedefine/>
    <w:qFormat/>
    <w:rsid w:val="004C6E80"/>
    <w:rPr>
      <w:shd w:val="clear" w:color="auto" w:fill="D43D3D"/>
    </w:rPr>
  </w:style>
  <w:style w:type="character" w:customStyle="1" w:styleId="hover20">
    <w:name w:val="hover20"/>
    <w:basedOn w:val="a0"/>
    <w:autoRedefine/>
    <w:qFormat/>
    <w:rsid w:val="004C6E80"/>
  </w:style>
  <w:style w:type="character" w:customStyle="1" w:styleId="not-follow">
    <w:name w:val="not-follow"/>
    <w:basedOn w:val="a0"/>
    <w:autoRedefine/>
    <w:qFormat/>
    <w:rsid w:val="004C6E80"/>
    <w:rPr>
      <w:color w:val="FFFFFF"/>
      <w:shd w:val="clear" w:color="auto" w:fill="FA3939"/>
    </w:rPr>
  </w:style>
  <w:style w:type="character" w:customStyle="1" w:styleId="bg-gg-text">
    <w:name w:val="bg-gg-text"/>
    <w:basedOn w:val="a0"/>
    <w:autoRedefine/>
    <w:qFormat/>
    <w:rsid w:val="004C6E80"/>
    <w:rPr>
      <w:color w:val="FFFFFF"/>
    </w:rPr>
  </w:style>
  <w:style w:type="character" w:customStyle="1" w:styleId="bg-gg-close">
    <w:name w:val="bg-gg-close"/>
    <w:basedOn w:val="a0"/>
    <w:autoRedefine/>
    <w:qFormat/>
    <w:rsid w:val="004C6E80"/>
  </w:style>
  <w:style w:type="character" w:customStyle="1" w:styleId="before15">
    <w:name w:val="before15"/>
    <w:basedOn w:val="a0"/>
    <w:autoRedefine/>
    <w:qFormat/>
    <w:rsid w:val="004C6E80"/>
  </w:style>
  <w:style w:type="character" w:customStyle="1" w:styleId="after3">
    <w:name w:val="after3"/>
    <w:basedOn w:val="a0"/>
    <w:autoRedefine/>
    <w:qFormat/>
    <w:rsid w:val="004C6E80"/>
  </w:style>
  <w:style w:type="character" w:customStyle="1" w:styleId="NormalCharacter">
    <w:name w:val="NormalCharacter"/>
    <w:uiPriority w:val="99"/>
    <w:semiHidden/>
    <w:qFormat/>
    <w:rsid w:val="004C6E8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2572</Words>
  <Characters>236</Characters>
  <Application>Microsoft Office Word</Application>
  <DocSecurity>0</DocSecurity>
  <Lines>1</Lines>
  <Paragraphs>5</Paragraphs>
  <ScaleCrop>false</ScaleCrop>
  <Company>微软中国</Company>
  <LinksUpToDate>false</LinksUpToDate>
  <CharactersWithSpaces>2803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test</cp:lastModifiedBy>
  <cp:revision>48</cp:revision>
  <cp:lastPrinted>2024-11-20T09:40:00Z</cp:lastPrinted>
  <dcterms:created xsi:type="dcterms:W3CDTF">2020-01-03T00:26:00Z</dcterms:created>
  <dcterms:modified xsi:type="dcterms:W3CDTF">2024-12-26T04:07:00Z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30E2386AC9B54D5490901A5B4991F1CD</vt:lpwstr>
  </property>
</Properties>
</file>