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bidi w:val="0"/>
        <w:rPr>
          <w:rStyle w:val="37"/>
          <w:rFonts w:hint="default" w:ascii="黑体" w:hAnsi="黑体" w:eastAsia="黑体"/>
          <w:sz w:val="24"/>
          <w:szCs w:val="24"/>
        </w:rPr>
      </w:pPr>
      <w:bookmarkStart w:id="0" w:name="_GoBack"/>
      <w:bookmarkEnd w:id="0"/>
      <w:r>
        <w:rPr>
          <w:rStyle w:val="37"/>
          <w:rFonts w:hint="default" w:ascii="黑体" w:hAnsi="黑体" w:eastAsia="黑体"/>
          <w:sz w:val="24"/>
          <w:szCs w:val="24"/>
        </w:rPr>
        <w:t>附件</w:t>
      </w:r>
    </w:p>
    <w:p>
      <w:pPr>
        <w:pStyle w:val="23"/>
        <w:jc w:val="center"/>
        <w:rPr>
          <w:rFonts w:hint="default" w:eastAsia="方正黑体_GBK"/>
          <w:sz w:val="34"/>
          <w:szCs w:val="34"/>
        </w:rPr>
      </w:pPr>
      <w:r>
        <w:rPr>
          <w:rFonts w:hint="default" w:eastAsia="方正黑体_GBK"/>
          <w:sz w:val="34"/>
          <w:szCs w:val="34"/>
        </w:rPr>
        <w:t>张掖市贯彻落实《关于全面优化营商环境的若干措施》任务分解清单</w:t>
      </w:r>
    </w:p>
    <w:tbl>
      <w:tblPr>
        <w:tblStyle w:val="6"/>
        <w:tblW w:w="14269" w:type="dxa"/>
        <w:jc w:val="center"/>
        <w:tblLayout w:type="autofit"/>
        <w:tblCellMar>
          <w:top w:w="0" w:type="dxa"/>
          <w:left w:w="108" w:type="dxa"/>
          <w:bottom w:w="0" w:type="dxa"/>
          <w:right w:w="108" w:type="dxa"/>
        </w:tblCellMar>
      </w:tblPr>
      <w:tblGrid>
        <w:gridCol w:w="549"/>
        <w:gridCol w:w="506"/>
        <w:gridCol w:w="1000"/>
        <w:gridCol w:w="6201"/>
        <w:gridCol w:w="1867"/>
        <w:gridCol w:w="3653"/>
        <w:gridCol w:w="493"/>
      </w:tblGrid>
      <w:tr>
        <w:trPr>
          <w:trHeight w:val="441" w:hRule="atLeast"/>
          <w:jc w:val="center"/>
        </w:trPr>
        <w:tc>
          <w:tcPr>
            <w:tcW w:w="549" w:type="dxa"/>
            <w:tcBorders>
              <w:top w:val="single" w:color="auto" w:sz="6" w:space="0"/>
              <w:left w:val="single" w:color="auto" w:sz="6"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序号</w:t>
            </w:r>
          </w:p>
        </w:tc>
        <w:tc>
          <w:tcPr>
            <w:tcW w:w="506" w:type="dxa"/>
            <w:tcBorders>
              <w:top w:val="single" w:color="auto" w:sz="6"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类别</w:t>
            </w:r>
          </w:p>
        </w:tc>
        <w:tc>
          <w:tcPr>
            <w:tcW w:w="1000" w:type="dxa"/>
            <w:tcBorders>
              <w:top w:val="single" w:color="auto" w:sz="6"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主要措施</w:t>
            </w:r>
          </w:p>
        </w:tc>
        <w:tc>
          <w:tcPr>
            <w:tcW w:w="6201" w:type="dxa"/>
            <w:tcBorders>
              <w:top w:val="single" w:color="auto" w:sz="6"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主要内容</w:t>
            </w:r>
          </w:p>
        </w:tc>
        <w:tc>
          <w:tcPr>
            <w:tcW w:w="1867" w:type="dxa"/>
            <w:tcBorders>
              <w:top w:val="single" w:color="auto" w:sz="6"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牵头部门（单位）</w:t>
            </w:r>
          </w:p>
        </w:tc>
        <w:tc>
          <w:tcPr>
            <w:tcW w:w="3653" w:type="dxa"/>
            <w:tcBorders>
              <w:top w:val="single" w:color="auto" w:sz="6"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配合部门（单位）</w:t>
            </w:r>
          </w:p>
        </w:tc>
        <w:tc>
          <w:tcPr>
            <w:tcW w:w="493" w:type="dxa"/>
            <w:tcBorders>
              <w:top w:val="single" w:color="auto" w:sz="6" w:space="0"/>
              <w:left w:val="single" w:color="auto" w:sz="4" w:space="0"/>
              <w:bottom w:val="single" w:color="auto" w:sz="4" w:space="0"/>
              <w:right w:val="single" w:color="auto" w:sz="6"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备注</w:t>
            </w:r>
          </w:p>
        </w:tc>
      </w:tr>
      <w:tr>
        <w:tblPrEx>
          <w:tblCellMar>
            <w:top w:w="0" w:type="dxa"/>
            <w:left w:w="108" w:type="dxa"/>
            <w:bottom w:w="0" w:type="dxa"/>
            <w:right w:w="108" w:type="dxa"/>
          </w:tblCellMar>
        </w:tblPrEx>
        <w:trPr>
          <w:trHeight w:val="2467"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w:t>
            </w:r>
          </w:p>
        </w:tc>
        <w:tc>
          <w:tcPr>
            <w:tcW w:w="506" w:type="dxa"/>
            <w:vMerge w:val="restart"/>
            <w:tcBorders>
              <w:top w:val="single" w:color="auto" w:sz="4" w:space="0"/>
              <w:left w:val="single" w:color="auto" w:sz="4" w:space="0"/>
              <w:bottom w:val="nil"/>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提升核心指标</w:t>
            </w:r>
          </w:p>
        </w:tc>
        <w:tc>
          <w:tcPr>
            <w:tcW w:w="1000" w:type="dxa"/>
            <w:tcBorders>
              <w:top w:val="single" w:color="auto" w:sz="4"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优化企业开办流程</w:t>
            </w:r>
          </w:p>
        </w:tc>
        <w:tc>
          <w:tcPr>
            <w:tcW w:w="6201" w:type="dxa"/>
            <w:tcBorders>
              <w:top w:val="single" w:color="auto" w:sz="4"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推行全程“网上办”</w:t>
            </w:r>
            <w:r>
              <w:rPr>
                <w:rFonts w:hint="default" w:ascii="方正书宋_GBK" w:hAnsi="方正书宋_GBK"/>
                <w:sz w:val="22"/>
                <w:szCs w:val="22"/>
              </w:rPr>
              <w:t>+</w:t>
            </w:r>
            <w:r>
              <w:rPr>
                <w:rFonts w:hint="default" w:ascii="方正书宋_GBK" w:hAnsi="方正书宋_GBK" w:eastAsia="方正书宋_GBK"/>
                <w:sz w:val="22"/>
                <w:szCs w:val="22"/>
              </w:rPr>
              <w:t>“大厅办”，整合登记、公章刻制、申领发票和税控设备、员工参保登记、住房公积金单位缴存登记、银行预约开户等环节，实现企业开办线上“一网通办”，完善政务大厅服务功能，有条件的地方实施线下“一窗通办”。到</w:t>
            </w:r>
            <w:r>
              <w:rPr>
                <w:rFonts w:hint="default" w:ascii="方正书宋_GBK" w:hAnsi="方正书宋_GBK"/>
                <w:sz w:val="22"/>
                <w:szCs w:val="22"/>
              </w:rPr>
              <w:t>2023</w:t>
            </w:r>
            <w:r>
              <w:rPr>
                <w:rFonts w:hint="default" w:ascii="方正书宋_GBK" w:hAnsi="方正书宋_GBK" w:eastAsia="方正书宋_GBK"/>
                <w:sz w:val="22"/>
                <w:szCs w:val="22"/>
              </w:rPr>
              <w:t>年底前，全流程企业开办时间不超过</w:t>
            </w:r>
            <w:r>
              <w:rPr>
                <w:rFonts w:hint="default" w:ascii="方正书宋_GBK" w:hAnsi="方正书宋_GBK"/>
                <w:sz w:val="22"/>
                <w:szCs w:val="22"/>
              </w:rPr>
              <w:t>2.5</w:t>
            </w:r>
            <w:r>
              <w:rPr>
                <w:rFonts w:hint="default" w:ascii="方正书宋_GBK" w:hAnsi="方正书宋_GBK" w:eastAsia="方正书宋_GBK"/>
                <w:sz w:val="22"/>
                <w:szCs w:val="22"/>
              </w:rPr>
              <w:t>天。</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市市场监管局</w:t>
            </w:r>
          </w:p>
        </w:tc>
        <w:tc>
          <w:tcPr>
            <w:tcW w:w="3653" w:type="dxa"/>
            <w:tcBorders>
              <w:top w:val="single" w:color="auto" w:sz="4"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市人社局、市住建局、市税务局、市住房公积金管理中心，张掖银保监分局，各县区、张掖经济技术开发区、民乐生态工业园区（以下各项措施均需各县区、张掖经开区、民乐生态工业园区落实，不再列出）</w:t>
            </w:r>
          </w:p>
        </w:tc>
        <w:tc>
          <w:tcPr>
            <w:tcW w:w="493" w:type="dxa"/>
            <w:tcBorders>
              <w:top w:val="single" w:color="auto" w:sz="4" w:space="0"/>
              <w:left w:val="single" w:color="auto" w:sz="4" w:space="0"/>
              <w:bottom w:val="single" w:color="auto" w:sz="4" w:space="0"/>
              <w:right w:val="single" w:color="auto" w:sz="6"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3196"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w:t>
            </w:r>
          </w:p>
        </w:tc>
        <w:tc>
          <w:tcPr>
            <w:tcW w:w="506" w:type="dxa"/>
            <w:vMerge w:val="continue"/>
            <w:tcBorders>
              <w:top w:val="nil"/>
              <w:left w:val="single" w:color="auto" w:sz="4" w:space="0"/>
              <w:bottom w:val="nil"/>
              <w:right w:val="single" w:color="auto" w:sz="4" w:space="0"/>
            </w:tcBorders>
            <w:shd w:val="clear" w:color="auto" w:fill="FFFFFF"/>
            <w:tcMar>
              <w:top w:w="23" w:type="dxa"/>
              <w:left w:w="23" w:type="dxa"/>
              <w:bottom w:w="23" w:type="dxa"/>
              <w:right w:w="23" w:type="dxa"/>
            </w:tcMar>
            <w:vAlign w:val="center"/>
          </w:tcPr>
          <w:p>
            <w:pPr>
              <w:ind w:firstLine="0" w:firstLineChars="0"/>
            </w:pPr>
          </w:p>
        </w:tc>
        <w:tc>
          <w:tcPr>
            <w:tcW w:w="1000" w:type="dxa"/>
            <w:tcBorders>
              <w:top w:val="single" w:color="auto" w:sz="4"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提高办理建筑许可服务效率</w:t>
            </w:r>
          </w:p>
        </w:tc>
        <w:tc>
          <w:tcPr>
            <w:tcW w:w="6201" w:type="dxa"/>
            <w:tcBorders>
              <w:top w:val="single" w:color="auto" w:sz="4"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健全工程建设项目联审机制，实现行政审批、备案、评估评审、中介服务等事项线上办理。加快工程建设项目审批系统与投资项目在线审批监管平台等既有系统互通。优化工程建设项目</w:t>
            </w:r>
            <w:r>
              <w:rPr>
                <w:rFonts w:hint="default" w:ascii="方正书宋_GBK" w:hAnsi="方正书宋_GBK"/>
                <w:sz w:val="22"/>
                <w:szCs w:val="22"/>
              </w:rPr>
              <w:t>(</w:t>
            </w:r>
            <w:r>
              <w:rPr>
                <w:rFonts w:hint="default" w:ascii="方正书宋_GBK" w:hAnsi="方正书宋_GBK" w:eastAsia="方正书宋_GBK"/>
                <w:sz w:val="22"/>
                <w:szCs w:val="22"/>
              </w:rPr>
              <w:t>不包括特殊工程和交通、水利、能源等领域的重大工程</w:t>
            </w:r>
            <w:r>
              <w:rPr>
                <w:rFonts w:hint="default" w:ascii="方正书宋_GBK" w:hAnsi="方正书宋_GBK"/>
                <w:sz w:val="22"/>
                <w:szCs w:val="22"/>
              </w:rPr>
              <w:t>)</w:t>
            </w:r>
            <w:r>
              <w:rPr>
                <w:rFonts w:hint="default" w:ascii="方正书宋_GBK" w:hAnsi="方正书宋_GBK" w:eastAsia="方正书宋_GBK"/>
                <w:sz w:val="22"/>
                <w:szCs w:val="22"/>
              </w:rPr>
              <w:t>审批流程，推行并联审批、多图联审、联合竣工验收等方式，简化审批手续，提高审批效能。到</w:t>
            </w:r>
            <w:r>
              <w:rPr>
                <w:rFonts w:hint="default" w:ascii="方正书宋_GBK" w:hAnsi="方正书宋_GBK"/>
                <w:sz w:val="22"/>
                <w:szCs w:val="22"/>
              </w:rPr>
              <w:t xml:space="preserve">2023 </w:t>
            </w:r>
            <w:r>
              <w:rPr>
                <w:rFonts w:hint="default" w:ascii="方正书宋_GBK" w:hAnsi="方正书宋_GBK" w:eastAsia="方正书宋_GBK"/>
                <w:sz w:val="22"/>
                <w:szCs w:val="22"/>
              </w:rPr>
              <w:t>年底前，一般政府投资类、一般社会投资房建市政类、一般工业类、一般交通及水利类项目审批时限压减至</w:t>
            </w:r>
            <w:r>
              <w:rPr>
                <w:rFonts w:hint="default" w:ascii="方正书宋_GBK" w:hAnsi="方正书宋_GBK"/>
                <w:sz w:val="22"/>
                <w:szCs w:val="22"/>
              </w:rPr>
              <w:t>85</w:t>
            </w:r>
            <w:r>
              <w:rPr>
                <w:rFonts w:hint="default" w:ascii="方正书宋_GBK" w:hAnsi="方正书宋_GBK" w:eastAsia="方正书宋_GBK"/>
                <w:sz w:val="22"/>
                <w:szCs w:val="22"/>
              </w:rPr>
              <w:t>个、</w:t>
            </w:r>
            <w:r>
              <w:rPr>
                <w:rFonts w:hint="default" w:ascii="方正书宋_GBK" w:hAnsi="方正书宋_GBK"/>
                <w:sz w:val="22"/>
                <w:szCs w:val="22"/>
              </w:rPr>
              <w:t>65</w:t>
            </w:r>
            <w:r>
              <w:rPr>
                <w:rFonts w:hint="default" w:ascii="方正书宋_GBK" w:hAnsi="方正书宋_GBK" w:eastAsia="方正书宋_GBK"/>
                <w:sz w:val="22"/>
                <w:szCs w:val="22"/>
              </w:rPr>
              <w:t>个、</w:t>
            </w:r>
            <w:r>
              <w:rPr>
                <w:rFonts w:hint="default" w:ascii="方正书宋_GBK" w:hAnsi="方正书宋_GBK"/>
                <w:sz w:val="22"/>
                <w:szCs w:val="22"/>
              </w:rPr>
              <w:t>55</w:t>
            </w:r>
            <w:r>
              <w:rPr>
                <w:rFonts w:hint="default" w:ascii="方正书宋_GBK" w:hAnsi="方正书宋_GBK" w:eastAsia="方正书宋_GBK"/>
                <w:sz w:val="22"/>
                <w:szCs w:val="22"/>
              </w:rPr>
              <w:t>个、</w:t>
            </w:r>
            <w:r>
              <w:rPr>
                <w:rFonts w:hint="default" w:ascii="方正书宋_GBK" w:hAnsi="方正书宋_GBK"/>
                <w:sz w:val="22"/>
                <w:szCs w:val="22"/>
              </w:rPr>
              <w:t>90</w:t>
            </w:r>
            <w:r>
              <w:rPr>
                <w:rFonts w:hint="default" w:ascii="方正书宋_GBK" w:hAnsi="方正书宋_GBK" w:eastAsia="方正书宋_GBK"/>
                <w:sz w:val="22"/>
                <w:szCs w:val="22"/>
              </w:rPr>
              <w:t>个工作日以内。</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市住建局</w:t>
            </w:r>
          </w:p>
        </w:tc>
        <w:tc>
          <w:tcPr>
            <w:tcW w:w="3653" w:type="dxa"/>
            <w:tcBorders>
              <w:top w:val="single" w:color="auto" w:sz="4" w:space="0"/>
              <w:left w:val="single" w:color="auto" w:sz="4" w:space="0"/>
              <w:bottom w:val="single" w:color="auto" w:sz="4"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市发展改革委、</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市交通运输局、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市水务局</w:t>
            </w:r>
          </w:p>
        </w:tc>
        <w:tc>
          <w:tcPr>
            <w:tcW w:w="493" w:type="dxa"/>
            <w:tcBorders>
              <w:top w:val="single" w:color="auto" w:sz="4" w:space="0"/>
              <w:left w:val="single" w:color="auto" w:sz="4" w:space="0"/>
              <w:bottom w:val="single" w:color="auto" w:sz="4" w:space="0"/>
              <w:right w:val="single" w:color="auto" w:sz="6"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2047" w:hRule="atLeast"/>
          <w:jc w:val="center"/>
        </w:trPr>
        <w:tc>
          <w:tcPr>
            <w:tcW w:w="549" w:type="dxa"/>
            <w:tcBorders>
              <w:top w:val="single" w:color="auto" w:sz="4" w:space="0"/>
              <w:left w:val="single" w:color="auto" w:sz="6" w:space="0"/>
              <w:bottom w:val="single" w:color="auto" w:sz="6"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3</w:t>
            </w:r>
          </w:p>
        </w:tc>
        <w:tc>
          <w:tcPr>
            <w:tcW w:w="506" w:type="dxa"/>
            <w:vMerge w:val="continue"/>
            <w:tcBorders>
              <w:top w:val="nil"/>
              <w:left w:val="single" w:color="auto" w:sz="4" w:space="0"/>
              <w:bottom w:val="single" w:color="auto" w:sz="6" w:space="0"/>
              <w:right w:val="single" w:color="auto" w:sz="4" w:space="0"/>
            </w:tcBorders>
            <w:shd w:val="clear" w:color="auto" w:fill="FFFFFF"/>
            <w:tcMar>
              <w:top w:w="23" w:type="dxa"/>
              <w:left w:w="23" w:type="dxa"/>
              <w:bottom w:w="23" w:type="dxa"/>
              <w:right w:w="23" w:type="dxa"/>
            </w:tcMar>
            <w:vAlign w:val="center"/>
          </w:tcPr>
          <w:p>
            <w:pPr>
              <w:ind w:firstLine="0" w:firstLineChars="0"/>
            </w:pPr>
          </w:p>
        </w:tc>
        <w:tc>
          <w:tcPr>
            <w:tcW w:w="1000" w:type="dxa"/>
            <w:tcBorders>
              <w:top w:val="single" w:color="auto" w:sz="4" w:space="0"/>
              <w:left w:val="single" w:color="auto" w:sz="4" w:space="0"/>
              <w:bottom w:val="single" w:color="auto" w:sz="6"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提升获得电力服务水平</w:t>
            </w:r>
          </w:p>
        </w:tc>
        <w:tc>
          <w:tcPr>
            <w:tcW w:w="6201" w:type="dxa"/>
            <w:tcBorders>
              <w:top w:val="single" w:color="auto" w:sz="4" w:space="0"/>
              <w:left w:val="single" w:color="auto" w:sz="4" w:space="0"/>
              <w:bottom w:val="single" w:color="auto" w:sz="6" w:space="0"/>
              <w:right w:val="single" w:color="auto" w:sz="4" w:space="0"/>
            </w:tcBorders>
            <w:shd w:val="clear" w:color="auto" w:fill="FFFFFF"/>
            <w:tcMar>
              <w:top w:w="23" w:type="dxa"/>
              <w:left w:w="23" w:type="dxa"/>
              <w:bottom w:w="23" w:type="dxa"/>
              <w:right w:w="23"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对</w:t>
            </w:r>
            <w:r>
              <w:rPr>
                <w:rFonts w:hint="default" w:ascii="方正书宋_GBK" w:hAnsi="方正书宋_GBK"/>
                <w:sz w:val="22"/>
                <w:szCs w:val="22"/>
              </w:rPr>
              <w:t>1</w:t>
            </w:r>
            <w:r>
              <w:rPr>
                <w:rFonts w:hint="default" w:ascii="方正书宋_GBK" w:hAnsi="方正书宋_GBK" w:eastAsia="方正书宋_GBK"/>
                <w:sz w:val="22"/>
                <w:szCs w:val="22"/>
              </w:rPr>
              <w:t>千伏以下及管线不超过</w:t>
            </w:r>
            <w:r>
              <w:rPr>
                <w:rFonts w:hint="default" w:ascii="方正书宋_GBK" w:hAnsi="方正书宋_GBK"/>
                <w:sz w:val="22"/>
                <w:szCs w:val="22"/>
              </w:rPr>
              <w:t>500</w:t>
            </w:r>
            <w:r>
              <w:rPr>
                <w:rFonts w:hint="default" w:ascii="方正书宋_GBK" w:hAnsi="方正书宋_GBK" w:eastAsia="方正书宋_GBK"/>
                <w:sz w:val="22"/>
                <w:szCs w:val="22"/>
              </w:rPr>
              <w:t>米的</w:t>
            </w:r>
            <w:r>
              <w:rPr>
                <w:rFonts w:hint="default" w:ascii="方正书宋_GBK" w:hAnsi="方正书宋_GBK"/>
                <w:sz w:val="22"/>
                <w:szCs w:val="22"/>
              </w:rPr>
              <w:t>10 (20)</w:t>
            </w:r>
            <w:r>
              <w:rPr>
                <w:rFonts w:hint="default" w:ascii="方正书宋_GBK" w:hAnsi="方正书宋_GBK" w:eastAsia="方正书宋_GBK"/>
                <w:sz w:val="22"/>
                <w:szCs w:val="22"/>
              </w:rPr>
              <w:t>千伏电力接入实行备案管理。实现用户“一证办电”和“房产</w:t>
            </w:r>
            <w:r>
              <w:rPr>
                <w:rFonts w:hint="default" w:ascii="方正书宋_GBK" w:hAnsi="方正书宋_GBK"/>
                <w:sz w:val="22"/>
                <w:szCs w:val="22"/>
              </w:rPr>
              <w:t>+</w:t>
            </w:r>
            <w:r>
              <w:rPr>
                <w:rFonts w:hint="default" w:ascii="方正书宋_GBK" w:hAnsi="方正书宋_GBK" w:eastAsia="方正书宋_GBK"/>
                <w:sz w:val="22"/>
                <w:szCs w:val="22"/>
              </w:rPr>
              <w:t>用电”联合过户。为用户提供用电报装、查询、交费等“一网通办”服务。坚决取消违法违规收费。到</w:t>
            </w:r>
            <w:r>
              <w:rPr>
                <w:rFonts w:hint="default" w:ascii="方正书宋_GBK" w:hAnsi="方正书宋_GBK"/>
                <w:sz w:val="22"/>
                <w:szCs w:val="22"/>
              </w:rPr>
              <w:t>2021</w:t>
            </w:r>
            <w:r>
              <w:rPr>
                <w:rFonts w:hint="default" w:ascii="方正书宋_GBK" w:hAnsi="方正书宋_GBK" w:eastAsia="方正书宋_GBK"/>
                <w:sz w:val="22"/>
                <w:szCs w:val="22"/>
              </w:rPr>
              <w:t>年底前，低压、</w:t>
            </w:r>
            <w:r>
              <w:rPr>
                <w:rFonts w:hint="default" w:ascii="方正书宋_GBK" w:hAnsi="方正书宋_GBK"/>
                <w:sz w:val="22"/>
                <w:szCs w:val="22"/>
              </w:rPr>
              <w:t>20</w:t>
            </w:r>
            <w:r>
              <w:rPr>
                <w:rFonts w:hint="default" w:ascii="方正书宋_GBK" w:hAnsi="方正书宋_GBK" w:eastAsia="方正书宋_GBK"/>
                <w:sz w:val="22"/>
                <w:szCs w:val="22"/>
              </w:rPr>
              <w:t>千伏及以下高压电力接入工程审批时间分别压减至</w:t>
            </w:r>
            <w:r>
              <w:rPr>
                <w:rFonts w:hint="default" w:ascii="方正书宋_GBK" w:hAnsi="方正书宋_GBK"/>
                <w:sz w:val="22"/>
                <w:szCs w:val="22"/>
              </w:rPr>
              <w:t>5</w:t>
            </w:r>
            <w:r>
              <w:rPr>
                <w:rFonts w:hint="default" w:ascii="方正书宋_GBK" w:hAnsi="方正书宋_GBK" w:eastAsia="方正书宋_GBK"/>
                <w:sz w:val="22"/>
                <w:szCs w:val="22"/>
              </w:rPr>
              <w:t>个、</w:t>
            </w:r>
            <w:r>
              <w:rPr>
                <w:rFonts w:hint="default" w:ascii="方正书宋_GBK" w:hAnsi="方正书宋_GBK"/>
                <w:sz w:val="22"/>
                <w:szCs w:val="22"/>
              </w:rPr>
              <w:t>10</w:t>
            </w:r>
            <w:r>
              <w:rPr>
                <w:rFonts w:hint="default" w:ascii="方正书宋_GBK" w:hAnsi="方正书宋_GBK" w:eastAsia="方正书宋_GBK"/>
                <w:sz w:val="22"/>
                <w:szCs w:val="22"/>
              </w:rPr>
              <w:t>个工作日。</w:t>
            </w:r>
          </w:p>
        </w:tc>
        <w:tc>
          <w:tcPr>
            <w:tcW w:w="1867" w:type="dxa"/>
            <w:tcBorders>
              <w:top w:val="single" w:color="auto" w:sz="4" w:space="0"/>
              <w:left w:val="single" w:color="auto" w:sz="4" w:space="0"/>
              <w:bottom w:val="single" w:color="auto" w:sz="6"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国网张掖供电公司</w:t>
            </w:r>
          </w:p>
        </w:tc>
        <w:tc>
          <w:tcPr>
            <w:tcW w:w="3653" w:type="dxa"/>
            <w:tcBorders>
              <w:top w:val="single" w:color="auto" w:sz="4" w:space="0"/>
              <w:left w:val="single" w:color="auto" w:sz="4" w:space="0"/>
              <w:bottom w:val="single" w:color="auto" w:sz="6" w:space="0"/>
              <w:right w:val="single" w:color="auto" w:sz="4"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市发展改革委、</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市自然资源局、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市住建局</w:t>
            </w:r>
          </w:p>
        </w:tc>
        <w:tc>
          <w:tcPr>
            <w:tcW w:w="493" w:type="dxa"/>
            <w:tcBorders>
              <w:top w:val="single" w:color="auto" w:sz="4" w:space="0"/>
              <w:left w:val="single" w:color="auto" w:sz="4" w:space="0"/>
              <w:bottom w:val="single" w:color="auto" w:sz="6" w:space="0"/>
              <w:right w:val="single" w:color="auto" w:sz="6" w:space="0"/>
            </w:tcBorders>
            <w:shd w:val="clear" w:color="auto" w:fill="FFFFFF"/>
            <w:tcMar>
              <w:top w:w="23" w:type="dxa"/>
              <w:left w:w="23" w:type="dxa"/>
              <w:bottom w:w="23" w:type="dxa"/>
              <w:right w:w="23"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bl>
    <w:p/>
    <w:tbl>
      <w:tblPr>
        <w:tblStyle w:val="6"/>
        <w:tblW w:w="0" w:type="auto"/>
        <w:jc w:val="center"/>
        <w:tblLayout w:type="fixed"/>
        <w:tblCellMar>
          <w:top w:w="0" w:type="dxa"/>
          <w:left w:w="108" w:type="dxa"/>
          <w:bottom w:w="0" w:type="dxa"/>
          <w:right w:w="108" w:type="dxa"/>
        </w:tblCellMar>
      </w:tblPr>
      <w:tblGrid>
        <w:gridCol w:w="567"/>
        <w:gridCol w:w="587"/>
        <w:gridCol w:w="1133"/>
        <w:gridCol w:w="7440"/>
        <w:gridCol w:w="1853"/>
        <w:gridCol w:w="1867"/>
        <w:gridCol w:w="563"/>
      </w:tblGrid>
      <w:tr>
        <w:tblPrEx>
          <w:tblCellMar>
            <w:top w:w="0" w:type="dxa"/>
            <w:left w:w="108" w:type="dxa"/>
            <w:bottom w:w="0" w:type="dxa"/>
            <w:right w:w="108" w:type="dxa"/>
          </w:tblCellMar>
        </w:tblPrEx>
        <w:trPr>
          <w:trHeight w:val="525" w:hRule="atLeast"/>
          <w:jc w:val="center"/>
        </w:trPr>
        <w:tc>
          <w:tcPr>
            <w:tcW w:w="567" w:type="dxa"/>
            <w:tcBorders>
              <w:top w:val="single" w:color="auto" w:sz="6"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序号</w:t>
            </w:r>
          </w:p>
        </w:tc>
        <w:tc>
          <w:tcPr>
            <w:tcW w:w="587"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类别</w:t>
            </w:r>
          </w:p>
        </w:tc>
        <w:tc>
          <w:tcPr>
            <w:tcW w:w="1133"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主要措施</w:t>
            </w:r>
          </w:p>
        </w:tc>
        <w:tc>
          <w:tcPr>
            <w:tcW w:w="7440"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主要内容</w:t>
            </w:r>
          </w:p>
        </w:tc>
        <w:tc>
          <w:tcPr>
            <w:tcW w:w="1853"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牵头部门（单位）</w:t>
            </w:r>
          </w:p>
        </w:tc>
        <w:tc>
          <w:tcPr>
            <w:tcW w:w="1867"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配合部门（单位）</w:t>
            </w:r>
          </w:p>
        </w:tc>
        <w:tc>
          <w:tcPr>
            <w:tcW w:w="563" w:type="dxa"/>
            <w:tcBorders>
              <w:top w:val="single" w:color="auto" w:sz="6"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备注</w:t>
            </w:r>
          </w:p>
        </w:tc>
      </w:tr>
      <w:tr>
        <w:tblPrEx>
          <w:tblCellMar>
            <w:top w:w="0" w:type="dxa"/>
            <w:left w:w="108" w:type="dxa"/>
            <w:bottom w:w="0" w:type="dxa"/>
            <w:right w:w="108" w:type="dxa"/>
          </w:tblCellMar>
        </w:tblPrEx>
        <w:trPr>
          <w:trHeight w:val="1573" w:hRule="atLeast"/>
          <w:jc w:val="center"/>
        </w:trPr>
        <w:tc>
          <w:tcPr>
            <w:tcW w:w="567"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sz w:val="22"/>
                <w:szCs w:val="22"/>
              </w:rPr>
              <w:t>4</w:t>
            </w:r>
          </w:p>
        </w:tc>
        <w:tc>
          <w:tcPr>
            <w:tcW w:w="587" w:type="dxa"/>
            <w:vMerge w:val="restart"/>
            <w:tcBorders>
              <w:top w:val="single" w:color="auto" w:sz="4" w:space="0"/>
              <w:left w:val="single" w:color="auto" w:sz="4" w:space="0"/>
              <w:bottom w:val="nil"/>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提升核心指标</w:t>
            </w:r>
          </w:p>
        </w:tc>
        <w:tc>
          <w:tcPr>
            <w:tcW w:w="1133"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优化获得用水用气用暖服务</w:t>
            </w:r>
          </w:p>
        </w:tc>
        <w:tc>
          <w:tcPr>
            <w:tcW w:w="744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推行水气暖“线上报装”“一窗审批”“一次办好”，建立政务与水气暖接入联动机制。坚决取消违法违规收费。到</w:t>
            </w:r>
            <w:r>
              <w:rPr>
                <w:rFonts w:hint="default" w:ascii="方正书宋_GBK" w:hAnsi="方正书宋_GBK"/>
                <w:sz w:val="22"/>
                <w:szCs w:val="22"/>
              </w:rPr>
              <w:t>2022</w:t>
            </w:r>
            <w:r>
              <w:rPr>
                <w:rFonts w:hint="default" w:ascii="方正书宋_GBK" w:hAnsi="方正书宋_GBK" w:eastAsia="方正书宋_GBK"/>
                <w:sz w:val="22"/>
                <w:szCs w:val="22"/>
              </w:rPr>
              <w:t>年底前，无外线工程接入水气报装分别不超过</w:t>
            </w:r>
            <w:r>
              <w:rPr>
                <w:rFonts w:hint="default" w:ascii="方正书宋_GBK" w:hAnsi="方正书宋_GBK"/>
                <w:sz w:val="22"/>
                <w:szCs w:val="22"/>
              </w:rPr>
              <w:t>2</w:t>
            </w:r>
            <w:r>
              <w:rPr>
                <w:rFonts w:hint="default" w:ascii="方正书宋_GBK" w:hAnsi="方正书宋_GBK" w:eastAsia="方正书宋_GBK"/>
                <w:sz w:val="22"/>
                <w:szCs w:val="22"/>
              </w:rPr>
              <w:t>个、</w:t>
            </w:r>
            <w:r>
              <w:rPr>
                <w:rFonts w:hint="default" w:ascii="方正书宋_GBK" w:hAnsi="方正书宋_GBK"/>
                <w:sz w:val="22"/>
                <w:szCs w:val="22"/>
              </w:rPr>
              <w:t>4</w:t>
            </w:r>
            <w:r>
              <w:rPr>
                <w:rFonts w:hint="default" w:ascii="方正书宋_GBK" w:hAnsi="方正书宋_GBK" w:eastAsia="方正书宋_GBK"/>
                <w:sz w:val="22"/>
                <w:szCs w:val="22"/>
              </w:rPr>
              <w:t>个工作日，有外线工程不超过</w:t>
            </w:r>
            <w:r>
              <w:rPr>
                <w:rFonts w:hint="default" w:ascii="方正书宋_GBK" w:hAnsi="方正书宋_GBK"/>
                <w:sz w:val="22"/>
                <w:szCs w:val="22"/>
              </w:rPr>
              <w:t>10</w:t>
            </w:r>
            <w:r>
              <w:rPr>
                <w:rFonts w:hint="default" w:ascii="方正书宋_GBK" w:hAnsi="方正书宋_GBK" w:eastAsia="方正书宋_GBK"/>
                <w:sz w:val="22"/>
                <w:szCs w:val="22"/>
              </w:rPr>
              <w:t>个工作日，供暖报装不超过</w:t>
            </w:r>
            <w:r>
              <w:rPr>
                <w:rFonts w:hint="default" w:ascii="方正书宋_GBK" w:hAnsi="方正书宋_GBK"/>
                <w:sz w:val="22"/>
                <w:szCs w:val="22"/>
              </w:rPr>
              <w:t>20</w:t>
            </w:r>
            <w:r>
              <w:rPr>
                <w:rFonts w:hint="default" w:ascii="方正书宋_GBK" w:hAnsi="方正书宋_GBK" w:eastAsia="方正书宋_GBK"/>
                <w:sz w:val="22"/>
                <w:szCs w:val="22"/>
              </w:rPr>
              <w:t>个工作日。</w:t>
            </w:r>
          </w:p>
        </w:tc>
        <w:tc>
          <w:tcPr>
            <w:tcW w:w="1853"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市住建局</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市发展改革委</w:t>
            </w:r>
          </w:p>
        </w:tc>
        <w:tc>
          <w:tcPr>
            <w:tcW w:w="563"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p>
        </w:tc>
      </w:tr>
      <w:tr>
        <w:tblPrEx>
          <w:tblCellMar>
            <w:top w:w="0" w:type="dxa"/>
            <w:left w:w="108" w:type="dxa"/>
            <w:bottom w:w="0" w:type="dxa"/>
            <w:right w:w="108" w:type="dxa"/>
          </w:tblCellMar>
        </w:tblPrEx>
        <w:trPr>
          <w:trHeight w:val="1597" w:hRule="atLeast"/>
          <w:jc w:val="center"/>
        </w:trPr>
        <w:tc>
          <w:tcPr>
            <w:tcW w:w="567"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5</w:t>
            </w:r>
          </w:p>
        </w:tc>
        <w:tc>
          <w:tcPr>
            <w:tcW w:w="587"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133"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改进不动产登记方式</w:t>
            </w:r>
          </w:p>
        </w:tc>
        <w:tc>
          <w:tcPr>
            <w:tcW w:w="744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建立集成统一的线上“一窗受理”平台，实施不动产交易、登记和缴税“一窗受理、并行办理”。使用电子签名、印章、合同和证书证明。健全不动产登记与税务等多部门信息共享机制。除法律法规规定的情形外，到</w:t>
            </w:r>
            <w:r>
              <w:rPr>
                <w:rFonts w:hint="default" w:ascii="方正书宋_GBK" w:hAnsi="方正书宋_GBK"/>
                <w:sz w:val="22"/>
                <w:szCs w:val="22"/>
              </w:rPr>
              <w:t>2022</w:t>
            </w:r>
            <w:r>
              <w:rPr>
                <w:rFonts w:hint="default" w:ascii="方正书宋_GBK" w:hAnsi="方正书宋_GBK" w:eastAsia="方正书宋_GBK"/>
                <w:sz w:val="22"/>
                <w:szCs w:val="22"/>
              </w:rPr>
              <w:t>年底，实现</w:t>
            </w:r>
            <w:r>
              <w:rPr>
                <w:rFonts w:hint="default" w:ascii="方正书宋_GBK" w:hAnsi="方正书宋_GBK"/>
                <w:sz w:val="22"/>
                <w:szCs w:val="22"/>
              </w:rPr>
              <w:t>24</w:t>
            </w:r>
            <w:r>
              <w:rPr>
                <w:rFonts w:hint="default" w:ascii="方正书宋_GBK" w:hAnsi="方正书宋_GBK" w:eastAsia="方正书宋_GBK"/>
                <w:sz w:val="22"/>
                <w:szCs w:val="22"/>
              </w:rPr>
              <w:t>小时在线申请和网上查询。</w:t>
            </w:r>
          </w:p>
        </w:tc>
        <w:tc>
          <w:tcPr>
            <w:tcW w:w="1853"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市自然资源局</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市住建局、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市税务局</w:t>
            </w:r>
          </w:p>
        </w:tc>
        <w:tc>
          <w:tcPr>
            <w:tcW w:w="563"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1862" w:hRule="atLeast"/>
          <w:jc w:val="center"/>
        </w:trPr>
        <w:tc>
          <w:tcPr>
            <w:tcW w:w="567"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6</w:t>
            </w:r>
          </w:p>
        </w:tc>
        <w:tc>
          <w:tcPr>
            <w:tcW w:w="587"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133"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提升纳税服务质效</w:t>
            </w:r>
          </w:p>
        </w:tc>
        <w:tc>
          <w:tcPr>
            <w:tcW w:w="744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落实西部大开发所得税减免、先进制造业和小微企业税收优惠等政策。对增值税小规模纳税人按</w:t>
            </w:r>
            <w:r>
              <w:rPr>
                <w:rFonts w:hint="default" w:ascii="方正书宋_GBK" w:hAnsi="方正书宋_GBK"/>
                <w:sz w:val="22"/>
                <w:szCs w:val="22"/>
              </w:rPr>
              <w:t>50%</w:t>
            </w:r>
            <w:r>
              <w:rPr>
                <w:rFonts w:hint="default" w:ascii="方正书宋_GBK" w:hAnsi="方正书宋_GBK" w:eastAsia="方正书宋_GBK"/>
                <w:sz w:val="22"/>
                <w:szCs w:val="22"/>
              </w:rPr>
              <w:t>征收资源税、城市维护建设税、房产税、城镇土地使用税、印花税</w:t>
            </w:r>
            <w:r>
              <w:rPr>
                <w:rFonts w:hint="default" w:ascii="方正书宋_GBK" w:hAnsi="方正书宋_GBK"/>
                <w:sz w:val="22"/>
                <w:szCs w:val="22"/>
              </w:rPr>
              <w:t>(</w:t>
            </w:r>
            <w:r>
              <w:rPr>
                <w:rFonts w:hint="default" w:ascii="方正书宋_GBK" w:hAnsi="方正书宋_GBK" w:eastAsia="方正书宋_GBK"/>
                <w:sz w:val="22"/>
                <w:szCs w:val="22"/>
              </w:rPr>
              <w:t>不含证券交易印花税</w:t>
            </w:r>
            <w:r>
              <w:rPr>
                <w:rFonts w:hint="default" w:ascii="方正书宋_GBK" w:hAnsi="方正书宋_GBK"/>
                <w:sz w:val="22"/>
                <w:szCs w:val="22"/>
              </w:rPr>
              <w:t>)</w:t>
            </w:r>
            <w:r>
              <w:rPr>
                <w:rFonts w:hint="default" w:ascii="方正书宋_GBK" w:hAnsi="方正书宋_GBK" w:eastAsia="方正书宋_GBK"/>
                <w:sz w:val="22"/>
                <w:szCs w:val="22"/>
              </w:rPr>
              <w:t>、耕地占用税和教育费附加、地方教育附加。推进增值税、企业所得税、财产行为税分税种的集成申报。到</w:t>
            </w:r>
            <w:r>
              <w:rPr>
                <w:rFonts w:hint="default" w:ascii="方正书宋_GBK" w:hAnsi="方正书宋_GBK"/>
                <w:sz w:val="22"/>
                <w:szCs w:val="22"/>
              </w:rPr>
              <w:t>2021</w:t>
            </w:r>
            <w:r>
              <w:rPr>
                <w:rFonts w:hint="default" w:ascii="方正书宋_GBK" w:hAnsi="方正书宋_GBK" w:eastAsia="方正书宋_GBK"/>
                <w:sz w:val="22"/>
                <w:szCs w:val="22"/>
              </w:rPr>
              <w:t>年底前，一般纳税人网上申报率达</w:t>
            </w:r>
            <w:r>
              <w:rPr>
                <w:rFonts w:hint="default" w:ascii="方正书宋_GBK" w:hAnsi="方正书宋_GBK"/>
                <w:sz w:val="22"/>
                <w:szCs w:val="22"/>
              </w:rPr>
              <w:t>98%</w:t>
            </w:r>
            <w:r>
              <w:rPr>
                <w:rFonts w:hint="default" w:ascii="方正书宋_GBK" w:hAnsi="方正书宋_GBK" w:eastAsia="方正书宋_GBK"/>
                <w:sz w:val="22"/>
                <w:szCs w:val="22"/>
              </w:rPr>
              <w:t>以上。</w:t>
            </w:r>
          </w:p>
        </w:tc>
        <w:tc>
          <w:tcPr>
            <w:tcW w:w="1853"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市税务局</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市财政局</w:t>
            </w:r>
          </w:p>
        </w:tc>
        <w:tc>
          <w:tcPr>
            <w:tcW w:w="563"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1124" w:hRule="atLeast"/>
          <w:jc w:val="center"/>
        </w:trPr>
        <w:tc>
          <w:tcPr>
            <w:tcW w:w="567"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7</w:t>
            </w:r>
          </w:p>
        </w:tc>
        <w:tc>
          <w:tcPr>
            <w:tcW w:w="587"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133"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推进跨境贸易便利化</w:t>
            </w:r>
          </w:p>
        </w:tc>
        <w:tc>
          <w:tcPr>
            <w:tcW w:w="744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推进海关张掖工作点、保税仓库、农产品检测中心开展业务，积极开展对外贸易。</w:t>
            </w:r>
          </w:p>
        </w:tc>
        <w:tc>
          <w:tcPr>
            <w:tcW w:w="1853"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市商务局</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张掖火车站</w:t>
            </w:r>
          </w:p>
        </w:tc>
        <w:tc>
          <w:tcPr>
            <w:tcW w:w="563"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1790" w:hRule="atLeast"/>
          <w:jc w:val="center"/>
        </w:trPr>
        <w:tc>
          <w:tcPr>
            <w:tcW w:w="567" w:type="dxa"/>
            <w:tcBorders>
              <w:top w:val="single" w:color="auto" w:sz="4" w:space="0"/>
              <w:left w:val="single" w:color="auto" w:sz="6"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8</w:t>
            </w:r>
          </w:p>
        </w:tc>
        <w:tc>
          <w:tcPr>
            <w:tcW w:w="587" w:type="dxa"/>
            <w:vMerge w:val="continue"/>
            <w:tcBorders>
              <w:top w:val="nil"/>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133"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提高办理破产效率</w:t>
            </w:r>
          </w:p>
        </w:tc>
        <w:tc>
          <w:tcPr>
            <w:tcW w:w="7440"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提高企业注销便利化水平，实现企业注销“一网办”。完善政府和法院联动工作机制</w:t>
            </w:r>
            <w:r>
              <w:rPr>
                <w:rFonts w:hint="default" w:ascii="方正书宋_GBK" w:hAnsi="方正书宋_GBK"/>
                <w:sz w:val="22"/>
                <w:szCs w:val="22"/>
              </w:rPr>
              <w:t>,</w:t>
            </w:r>
            <w:r>
              <w:rPr>
                <w:rFonts w:hint="default" w:ascii="方正书宋_GBK" w:hAnsi="方正书宋_GBK" w:eastAsia="方正书宋_GBK"/>
                <w:sz w:val="22"/>
                <w:szCs w:val="22"/>
              </w:rPr>
              <w:t>解决产权瑕疵、职工安置等问题。建立快速审理机制，优化简易破产案件识别标准。提升破产审判效率。到</w:t>
            </w:r>
            <w:r>
              <w:rPr>
                <w:rFonts w:hint="default" w:ascii="方正书宋_GBK" w:hAnsi="方正书宋_GBK"/>
                <w:sz w:val="22"/>
                <w:szCs w:val="22"/>
              </w:rPr>
              <w:t>2022</w:t>
            </w:r>
            <w:r>
              <w:rPr>
                <w:rFonts w:hint="default" w:ascii="方正书宋_GBK" w:hAnsi="方正书宋_GBK" w:eastAsia="方正书宋_GBK"/>
                <w:sz w:val="22"/>
                <w:szCs w:val="22"/>
              </w:rPr>
              <w:t>年底前，破产案件平均审理用时控制在</w:t>
            </w:r>
            <w:r>
              <w:rPr>
                <w:rFonts w:hint="default" w:ascii="方正书宋_GBK" w:hAnsi="方正书宋_GBK"/>
                <w:sz w:val="22"/>
                <w:szCs w:val="22"/>
              </w:rPr>
              <w:t>600</w:t>
            </w:r>
            <w:r>
              <w:rPr>
                <w:rFonts w:hint="default" w:ascii="方正书宋_GBK" w:hAnsi="方正书宋_GBK" w:eastAsia="方正书宋_GBK"/>
                <w:sz w:val="22"/>
                <w:szCs w:val="22"/>
              </w:rPr>
              <w:t>天左右，债权平均回收率达到</w:t>
            </w:r>
            <w:r>
              <w:rPr>
                <w:rFonts w:hint="default" w:ascii="方正书宋_GBK" w:hAnsi="方正书宋_GBK"/>
                <w:sz w:val="22"/>
                <w:szCs w:val="22"/>
              </w:rPr>
              <w:t>45%</w:t>
            </w:r>
            <w:r>
              <w:rPr>
                <w:rFonts w:hint="default" w:ascii="方正书宋_GBK" w:hAnsi="方正书宋_GBK" w:eastAsia="方正书宋_GBK"/>
                <w:sz w:val="22"/>
                <w:szCs w:val="22"/>
              </w:rPr>
              <w:t>左右。</w:t>
            </w:r>
          </w:p>
        </w:tc>
        <w:tc>
          <w:tcPr>
            <w:tcW w:w="1853"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市中级人民法院、市市场监管局</w:t>
            </w:r>
          </w:p>
        </w:tc>
        <w:tc>
          <w:tcPr>
            <w:tcW w:w="1867"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市人社局、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市商务局、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市税务局</w:t>
            </w:r>
          </w:p>
        </w:tc>
        <w:tc>
          <w:tcPr>
            <w:tcW w:w="563" w:type="dxa"/>
            <w:tcBorders>
              <w:top w:val="single" w:color="auto" w:sz="4" w:space="0"/>
              <w:left w:val="single" w:color="auto" w:sz="4" w:space="0"/>
              <w:bottom w:val="single" w:color="auto" w:sz="6"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bl>
    <w:p/>
    <w:tbl>
      <w:tblPr>
        <w:tblStyle w:val="6"/>
        <w:tblW w:w="14069" w:type="dxa"/>
        <w:jc w:val="center"/>
        <w:tblLayout w:type="autofit"/>
        <w:tblCellMar>
          <w:top w:w="0" w:type="dxa"/>
          <w:left w:w="108" w:type="dxa"/>
          <w:bottom w:w="0" w:type="dxa"/>
          <w:right w:w="108" w:type="dxa"/>
        </w:tblCellMar>
      </w:tblPr>
      <w:tblGrid>
        <w:gridCol w:w="571"/>
        <w:gridCol w:w="560"/>
        <w:gridCol w:w="1054"/>
        <w:gridCol w:w="7318"/>
        <w:gridCol w:w="2120"/>
        <w:gridCol w:w="1859"/>
        <w:gridCol w:w="587"/>
      </w:tblGrid>
      <w:tr>
        <w:tblPrEx>
          <w:tblCellMar>
            <w:top w:w="0" w:type="dxa"/>
            <w:left w:w="108" w:type="dxa"/>
            <w:bottom w:w="0" w:type="dxa"/>
            <w:right w:w="108" w:type="dxa"/>
          </w:tblCellMar>
        </w:tblPrEx>
        <w:trPr>
          <w:trHeight w:val="619" w:hRule="atLeast"/>
          <w:jc w:val="center"/>
        </w:trPr>
        <w:tc>
          <w:tcPr>
            <w:tcW w:w="571"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序号</w:t>
            </w:r>
          </w:p>
        </w:tc>
        <w:tc>
          <w:tcPr>
            <w:tcW w:w="56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类别</w:t>
            </w:r>
          </w:p>
        </w:tc>
        <w:tc>
          <w:tcPr>
            <w:tcW w:w="105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主要措施</w:t>
            </w:r>
          </w:p>
        </w:tc>
        <w:tc>
          <w:tcPr>
            <w:tcW w:w="7318"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主要内容</w:t>
            </w:r>
          </w:p>
        </w:tc>
        <w:tc>
          <w:tcPr>
            <w:tcW w:w="212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牵头部门（单位）</w:t>
            </w:r>
          </w:p>
        </w:tc>
        <w:tc>
          <w:tcPr>
            <w:tcW w:w="1859"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配合部门（单位）</w:t>
            </w:r>
          </w:p>
        </w:tc>
        <w:tc>
          <w:tcPr>
            <w:tcW w:w="58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备注</w:t>
            </w:r>
          </w:p>
        </w:tc>
      </w:tr>
      <w:tr>
        <w:tblPrEx>
          <w:tblCellMar>
            <w:top w:w="0" w:type="dxa"/>
            <w:left w:w="108" w:type="dxa"/>
            <w:bottom w:w="0" w:type="dxa"/>
            <w:right w:w="108" w:type="dxa"/>
          </w:tblCellMar>
        </w:tblPrEx>
        <w:trPr>
          <w:trHeight w:val="2332" w:hRule="atLeast"/>
          <w:jc w:val="center"/>
        </w:trPr>
        <w:tc>
          <w:tcPr>
            <w:tcW w:w="571"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9</w:t>
            </w:r>
          </w:p>
        </w:tc>
        <w:tc>
          <w:tcPr>
            <w:tcW w:w="560" w:type="dxa"/>
            <w:vMerge w:val="restart"/>
            <w:tcBorders>
              <w:top w:val="single" w:color="auto" w:sz="4" w:space="0"/>
              <w:left w:val="single" w:color="auto" w:sz="4" w:space="0"/>
              <w:bottom w:val="nil"/>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提升核心指标</w:t>
            </w:r>
          </w:p>
        </w:tc>
        <w:tc>
          <w:tcPr>
            <w:tcW w:w="105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加大信贷支持力度</w:t>
            </w:r>
          </w:p>
        </w:tc>
        <w:tc>
          <w:tcPr>
            <w:tcW w:w="7318"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提升“信易贷”平台服务能力，加强政府、银行和企业对接，提高金融服务精准性。引导金融机构创新供应链金融模式。完善对商业银行等金融机构的监管考核和激励机制，鼓励、引导其增加对民营企业、中小企业的信贷投放，并合理增加中长期贷款和信用贷款支持，提高贷款审批效率。降低普惠型小微企业贷款综合成本。到</w:t>
            </w:r>
            <w:r>
              <w:rPr>
                <w:rFonts w:hint="default" w:ascii="方正书宋_GBK" w:hAnsi="方正书宋_GBK"/>
                <w:sz w:val="22"/>
                <w:szCs w:val="22"/>
              </w:rPr>
              <w:t>2022</w:t>
            </w:r>
            <w:r>
              <w:rPr>
                <w:rFonts w:hint="default" w:ascii="方正书宋_GBK" w:hAnsi="方正书宋_GBK" w:eastAsia="方正书宋_GBK"/>
                <w:sz w:val="22"/>
                <w:szCs w:val="22"/>
              </w:rPr>
              <w:t>年底前，政府性融资担保机构对小微企业和“三农”主体的融资担保费率降至</w:t>
            </w:r>
            <w:r>
              <w:rPr>
                <w:rFonts w:hint="default" w:ascii="方正书宋_GBK" w:hAnsi="方正书宋_GBK"/>
                <w:sz w:val="22"/>
                <w:szCs w:val="22"/>
              </w:rPr>
              <w:t>1.5%</w:t>
            </w:r>
            <w:r>
              <w:rPr>
                <w:rFonts w:hint="default" w:ascii="方正书宋_GBK" w:hAnsi="方正书宋_GBK" w:eastAsia="方正书宋_GBK"/>
                <w:sz w:val="22"/>
                <w:szCs w:val="22"/>
              </w:rPr>
              <w:t>以下。</w:t>
            </w:r>
          </w:p>
        </w:tc>
        <w:tc>
          <w:tcPr>
            <w:tcW w:w="212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市政府金融办、</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张掖银保监分局、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人行张掖市中心支行</w:t>
            </w:r>
          </w:p>
        </w:tc>
        <w:tc>
          <w:tcPr>
            <w:tcW w:w="1859"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市发展改革委</w:t>
            </w:r>
          </w:p>
        </w:tc>
        <w:tc>
          <w:tcPr>
            <w:tcW w:w="58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1759" w:hRule="atLeast"/>
          <w:jc w:val="center"/>
        </w:trPr>
        <w:tc>
          <w:tcPr>
            <w:tcW w:w="571"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10</w:t>
            </w:r>
          </w:p>
        </w:tc>
        <w:tc>
          <w:tcPr>
            <w:tcW w:w="560"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5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保护中小投资者权益</w:t>
            </w:r>
          </w:p>
        </w:tc>
        <w:tc>
          <w:tcPr>
            <w:tcW w:w="7318"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提高以投资者需求为导向的信息披露质量</w:t>
            </w:r>
            <w:r>
              <w:rPr>
                <w:rFonts w:hint="default" w:ascii="方正书宋_GBK" w:hAnsi="方正书宋_GBK"/>
                <w:sz w:val="22"/>
                <w:szCs w:val="22"/>
              </w:rPr>
              <w:t>,</w:t>
            </w:r>
            <w:r>
              <w:rPr>
                <w:rFonts w:hint="default" w:ascii="方正书宋_GBK" w:hAnsi="方正书宋_GBK" w:eastAsia="方正书宋_GBK"/>
                <w:sz w:val="22"/>
                <w:szCs w:val="22"/>
              </w:rPr>
              <w:t>充分保护广大中小投资者知情权、参与权和决策权等权益。强化诉调对接、立案登记、诉讼风险提示、诉讼材料接转、诉讼费用缴纳、财产保全、案件流程查询、信访接待等服务。到</w:t>
            </w:r>
            <w:r>
              <w:rPr>
                <w:rFonts w:hint="default" w:ascii="方正书宋_GBK" w:hAnsi="方正书宋_GBK"/>
                <w:sz w:val="22"/>
                <w:szCs w:val="22"/>
              </w:rPr>
              <w:t>2022</w:t>
            </w:r>
            <w:r>
              <w:rPr>
                <w:rFonts w:hint="default" w:ascii="方正书宋_GBK" w:hAnsi="方正书宋_GBK" w:eastAsia="方正书宋_GBK"/>
                <w:sz w:val="22"/>
                <w:szCs w:val="22"/>
              </w:rPr>
              <w:t>年底前，对</w:t>
            </w:r>
            <w:r>
              <w:rPr>
                <w:rFonts w:hint="default" w:ascii="方正书宋_GBK" w:hAnsi="方正书宋_GBK"/>
                <w:sz w:val="22"/>
                <w:szCs w:val="22"/>
              </w:rPr>
              <w:t>1</w:t>
            </w:r>
            <w:r>
              <w:rPr>
                <w:rFonts w:hint="default" w:ascii="方正书宋_GBK" w:hAnsi="方正书宋_GBK" w:eastAsia="方正书宋_GBK"/>
                <w:sz w:val="22"/>
                <w:szCs w:val="22"/>
              </w:rPr>
              <w:t>万元以下的证券期货纠纷，调解员</w:t>
            </w:r>
            <w:r>
              <w:rPr>
                <w:rFonts w:hint="default" w:ascii="方正书宋_GBK" w:hAnsi="方正书宋_GBK"/>
                <w:sz w:val="22"/>
                <w:szCs w:val="22"/>
              </w:rPr>
              <w:t>10</w:t>
            </w:r>
            <w:r>
              <w:rPr>
                <w:rFonts w:hint="default" w:ascii="方正书宋_GBK" w:hAnsi="方正书宋_GBK" w:eastAsia="方正书宋_GBK"/>
                <w:sz w:val="22"/>
                <w:szCs w:val="22"/>
              </w:rPr>
              <w:t>日内作出调解建议书并送达当事人。</w:t>
            </w:r>
          </w:p>
        </w:tc>
        <w:tc>
          <w:tcPr>
            <w:tcW w:w="212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市中级人民法院</w:t>
            </w:r>
          </w:p>
        </w:tc>
        <w:tc>
          <w:tcPr>
            <w:tcW w:w="1859"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市检察院</w:t>
            </w:r>
          </w:p>
        </w:tc>
        <w:tc>
          <w:tcPr>
            <w:tcW w:w="58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p>
        </w:tc>
      </w:tr>
      <w:tr>
        <w:tblPrEx>
          <w:tblCellMar>
            <w:top w:w="0" w:type="dxa"/>
            <w:left w:w="108" w:type="dxa"/>
            <w:bottom w:w="0" w:type="dxa"/>
            <w:right w:w="108" w:type="dxa"/>
          </w:tblCellMar>
        </w:tblPrEx>
        <w:trPr>
          <w:trHeight w:val="1922" w:hRule="atLeast"/>
          <w:jc w:val="center"/>
        </w:trPr>
        <w:tc>
          <w:tcPr>
            <w:tcW w:w="571"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11</w:t>
            </w:r>
          </w:p>
        </w:tc>
        <w:tc>
          <w:tcPr>
            <w:tcW w:w="560"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5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提高执行合同质量</w:t>
            </w:r>
          </w:p>
        </w:tc>
        <w:tc>
          <w:tcPr>
            <w:tcW w:w="7318"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加大合同履行监管，促进合同履行。畅通审判执行案件立案渠道。推进民商事案件繁简分流。加强民商事案件诉讼全流程管理，缩短案件移转周期。加强民商事案件审限管理，妥善清理长期未结案件。到</w:t>
            </w:r>
            <w:r>
              <w:rPr>
                <w:rFonts w:hint="default" w:ascii="方正书宋_GBK" w:hAnsi="方正书宋_GBK"/>
                <w:sz w:val="22"/>
                <w:szCs w:val="22"/>
              </w:rPr>
              <w:t>2022</w:t>
            </w:r>
            <w:r>
              <w:rPr>
                <w:rFonts w:hint="default" w:ascii="方正书宋_GBK" w:hAnsi="方正书宋_GBK" w:eastAsia="方正书宋_GBK"/>
                <w:sz w:val="22"/>
                <w:szCs w:val="22"/>
              </w:rPr>
              <w:t>年底前，解决商业纠纷平均用时降低到</w:t>
            </w:r>
            <w:r>
              <w:rPr>
                <w:rFonts w:hint="default" w:ascii="方正书宋_GBK" w:hAnsi="方正书宋_GBK"/>
                <w:sz w:val="22"/>
                <w:szCs w:val="22"/>
              </w:rPr>
              <w:t>220</w:t>
            </w:r>
            <w:r>
              <w:rPr>
                <w:rFonts w:hint="default" w:ascii="方正书宋_GBK" w:hAnsi="方正书宋_GBK" w:eastAsia="方正书宋_GBK"/>
                <w:sz w:val="22"/>
                <w:szCs w:val="22"/>
              </w:rPr>
              <w:t>天以内。</w:t>
            </w:r>
          </w:p>
        </w:tc>
        <w:tc>
          <w:tcPr>
            <w:tcW w:w="212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市中级人民法院</w:t>
            </w:r>
          </w:p>
        </w:tc>
        <w:tc>
          <w:tcPr>
            <w:tcW w:w="1859"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市检察院</w:t>
            </w:r>
          </w:p>
        </w:tc>
        <w:tc>
          <w:tcPr>
            <w:tcW w:w="58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p>
        </w:tc>
      </w:tr>
      <w:tr>
        <w:tblPrEx>
          <w:tblCellMar>
            <w:top w:w="0" w:type="dxa"/>
            <w:left w:w="108" w:type="dxa"/>
            <w:bottom w:w="0" w:type="dxa"/>
            <w:right w:w="108" w:type="dxa"/>
          </w:tblCellMar>
        </w:tblPrEx>
        <w:trPr>
          <w:trHeight w:val="1656" w:hRule="atLeast"/>
          <w:jc w:val="center"/>
        </w:trPr>
        <w:tc>
          <w:tcPr>
            <w:tcW w:w="571"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12</w:t>
            </w:r>
          </w:p>
        </w:tc>
        <w:tc>
          <w:tcPr>
            <w:tcW w:w="560" w:type="dxa"/>
            <w:vMerge w:val="continue"/>
            <w:tcBorders>
              <w:top w:val="nil"/>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5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加大劳动力市场监管</w:t>
            </w:r>
          </w:p>
        </w:tc>
        <w:tc>
          <w:tcPr>
            <w:tcW w:w="7318"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解决劳动密集型用工企业招工难的问题。对用人单位进行用工服务指导和应届毕业生招聘协调对接。打造技能张掖。强化劳动争议预防处理。到</w:t>
            </w:r>
            <w:r>
              <w:rPr>
                <w:rFonts w:hint="default" w:ascii="方正书宋_GBK" w:hAnsi="方正书宋_GBK"/>
                <w:sz w:val="22"/>
                <w:szCs w:val="22"/>
              </w:rPr>
              <w:t>2022</w:t>
            </w:r>
            <w:r>
              <w:rPr>
                <w:rFonts w:hint="default" w:ascii="方正书宋_GBK" w:hAnsi="方正书宋_GBK" w:eastAsia="方正书宋_GBK"/>
                <w:sz w:val="22"/>
                <w:szCs w:val="22"/>
              </w:rPr>
              <w:t>年底前，市内企业养老保险关系转移接续全程网办办理时限压缩至</w:t>
            </w:r>
            <w:r>
              <w:rPr>
                <w:rFonts w:hint="default" w:ascii="方正书宋_GBK" w:hAnsi="方正书宋_GBK"/>
                <w:sz w:val="22"/>
                <w:szCs w:val="22"/>
              </w:rPr>
              <w:t>15</w:t>
            </w:r>
            <w:r>
              <w:rPr>
                <w:rFonts w:hint="default" w:ascii="方正书宋_GBK" w:hAnsi="方正书宋_GBK" w:eastAsia="方正书宋_GBK"/>
                <w:sz w:val="22"/>
                <w:szCs w:val="22"/>
              </w:rPr>
              <w:t>个工作日以内。</w:t>
            </w:r>
          </w:p>
        </w:tc>
        <w:tc>
          <w:tcPr>
            <w:tcW w:w="212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市人社局</w:t>
            </w:r>
          </w:p>
        </w:tc>
        <w:tc>
          <w:tcPr>
            <w:tcW w:w="1859"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市教育局</w:t>
            </w:r>
          </w:p>
        </w:tc>
        <w:tc>
          <w:tcPr>
            <w:tcW w:w="58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p>
        </w:tc>
      </w:tr>
    </w:tbl>
    <w:p/>
    <w:tbl>
      <w:tblPr>
        <w:tblStyle w:val="6"/>
        <w:tblW w:w="14000" w:type="dxa"/>
        <w:jc w:val="center"/>
        <w:tblLayout w:type="autofit"/>
        <w:tblCellMar>
          <w:top w:w="0" w:type="dxa"/>
          <w:left w:w="108" w:type="dxa"/>
          <w:bottom w:w="0" w:type="dxa"/>
          <w:right w:w="108" w:type="dxa"/>
        </w:tblCellMar>
      </w:tblPr>
      <w:tblGrid>
        <w:gridCol w:w="549"/>
        <w:gridCol w:w="586"/>
        <w:gridCol w:w="1014"/>
        <w:gridCol w:w="7546"/>
        <w:gridCol w:w="1867"/>
        <w:gridCol w:w="1867"/>
        <w:gridCol w:w="571"/>
      </w:tblGrid>
      <w:tr>
        <w:tblPrEx>
          <w:tblCellMar>
            <w:top w:w="0" w:type="dxa"/>
            <w:left w:w="108" w:type="dxa"/>
            <w:bottom w:w="0" w:type="dxa"/>
            <w:right w:w="108" w:type="dxa"/>
          </w:tblCellMar>
        </w:tblPrEx>
        <w:trPr>
          <w:trHeight w:val="533" w:hRule="atLeast"/>
          <w:jc w:val="center"/>
        </w:trPr>
        <w:tc>
          <w:tcPr>
            <w:tcW w:w="549" w:type="dxa"/>
            <w:tcBorders>
              <w:top w:val="single" w:color="auto" w:sz="6"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序号</w:t>
            </w:r>
          </w:p>
        </w:tc>
        <w:tc>
          <w:tcPr>
            <w:tcW w:w="586"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类别</w:t>
            </w:r>
          </w:p>
        </w:tc>
        <w:tc>
          <w:tcPr>
            <w:tcW w:w="1014"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主要措施</w:t>
            </w:r>
          </w:p>
        </w:tc>
        <w:tc>
          <w:tcPr>
            <w:tcW w:w="7546"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主要内容</w:t>
            </w:r>
          </w:p>
        </w:tc>
        <w:tc>
          <w:tcPr>
            <w:tcW w:w="1867"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牵头部门（单位）</w:t>
            </w:r>
          </w:p>
        </w:tc>
        <w:tc>
          <w:tcPr>
            <w:tcW w:w="1867"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配合部门（单位）</w:t>
            </w:r>
          </w:p>
        </w:tc>
        <w:tc>
          <w:tcPr>
            <w:tcW w:w="571" w:type="dxa"/>
            <w:tcBorders>
              <w:top w:val="single" w:color="auto" w:sz="6"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备注</w:t>
            </w:r>
          </w:p>
        </w:tc>
      </w:tr>
      <w:tr>
        <w:tblPrEx>
          <w:tblCellMar>
            <w:top w:w="0" w:type="dxa"/>
            <w:left w:w="108" w:type="dxa"/>
            <w:bottom w:w="0" w:type="dxa"/>
            <w:right w:w="108" w:type="dxa"/>
          </w:tblCellMar>
        </w:tblPrEx>
        <w:trPr>
          <w:trHeight w:val="2638"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13</w:t>
            </w:r>
          </w:p>
        </w:tc>
        <w:tc>
          <w:tcPr>
            <w:tcW w:w="586" w:type="dxa"/>
            <w:vMerge w:val="restart"/>
            <w:tcBorders>
              <w:top w:val="single" w:color="auto" w:sz="4" w:space="0"/>
              <w:left w:val="single" w:color="auto" w:sz="4" w:space="0"/>
              <w:bottom w:val="nil"/>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提升核心指标</w:t>
            </w: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规范政府采购活动</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严格执行政府采购相关法律规定，在编制采购文件时应当落实政府采购支持节能环保、促进中小企业发展等政府采购政策要求，不得用不同的价格扣除标准区别对待享受价格扣除优惠的投标供应商，不得设置不合理的条件对供应商实行差别待遇、歧视待遇。政府采购合同签订应当自中标</w:t>
            </w:r>
            <w:r>
              <w:rPr>
                <w:rFonts w:hint="default" w:ascii="方正书宋_GBK" w:hAnsi="方正书宋_GBK"/>
                <w:sz w:val="22"/>
                <w:szCs w:val="22"/>
              </w:rPr>
              <w:t>(</w:t>
            </w:r>
            <w:r>
              <w:rPr>
                <w:rFonts w:hint="default" w:ascii="方正书宋_GBK" w:hAnsi="方正书宋_GBK" w:eastAsia="方正书宋_GBK"/>
                <w:sz w:val="22"/>
                <w:szCs w:val="22"/>
              </w:rPr>
              <w:t>成交</w:t>
            </w:r>
            <w:r>
              <w:rPr>
                <w:rFonts w:hint="default" w:ascii="方正书宋_GBK" w:hAnsi="方正书宋_GBK"/>
                <w:sz w:val="22"/>
                <w:szCs w:val="22"/>
              </w:rPr>
              <w:t>)</w:t>
            </w:r>
            <w:r>
              <w:rPr>
                <w:rFonts w:hint="default" w:ascii="方正书宋_GBK" w:hAnsi="方正书宋_GBK" w:eastAsia="方正书宋_GBK"/>
                <w:sz w:val="22"/>
                <w:szCs w:val="22"/>
              </w:rPr>
              <w:t>通知书发出之日起</w:t>
            </w:r>
            <w:r>
              <w:rPr>
                <w:rFonts w:hint="default" w:ascii="方正书宋_GBK" w:hAnsi="方正书宋_GBK"/>
                <w:sz w:val="22"/>
                <w:szCs w:val="22"/>
              </w:rPr>
              <w:t>30</w:t>
            </w:r>
            <w:r>
              <w:rPr>
                <w:rFonts w:hint="default" w:ascii="方正书宋_GBK" w:hAnsi="方正书宋_GBK" w:eastAsia="方正书宋_GBK"/>
                <w:sz w:val="22"/>
                <w:szCs w:val="22"/>
              </w:rPr>
              <w:t>日内完成。其中合同内容涉及预付款的比例，原则上不低于合同金额的</w:t>
            </w:r>
            <w:r>
              <w:rPr>
                <w:rFonts w:hint="default" w:ascii="方正书宋_GBK" w:hAnsi="方正书宋_GBK"/>
                <w:sz w:val="22"/>
                <w:szCs w:val="22"/>
              </w:rPr>
              <w:t>30%</w:t>
            </w:r>
            <w:r>
              <w:rPr>
                <w:rFonts w:hint="default" w:ascii="方正书宋_GBK" w:hAnsi="方正书宋_GBK" w:eastAsia="方正书宋_GBK"/>
                <w:sz w:val="22"/>
                <w:szCs w:val="22"/>
              </w:rPr>
              <w:t>，对于满足合同约定支付条件的，采购人应当自收到发票后</w:t>
            </w:r>
            <w:r>
              <w:rPr>
                <w:rFonts w:hint="default" w:ascii="方正书宋_GBK" w:hAnsi="方正书宋_GBK"/>
                <w:sz w:val="22"/>
                <w:szCs w:val="22"/>
              </w:rPr>
              <w:t>30</w:t>
            </w:r>
            <w:r>
              <w:rPr>
                <w:rFonts w:hint="default" w:ascii="方正书宋_GBK" w:hAnsi="方正书宋_GBK" w:eastAsia="方正书宋_GBK"/>
                <w:sz w:val="22"/>
                <w:szCs w:val="22"/>
              </w:rPr>
              <w:t>日内将资金支付到合同约定的供应商账户。</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市财政局</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市公共资源</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交易中心</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1436"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14</w:t>
            </w:r>
          </w:p>
        </w:tc>
        <w:tc>
          <w:tcPr>
            <w:tcW w:w="586"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强化招投标管理</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紧盯招标公告、招标文件、资格审查、开标评标定标、异议答复、招标投标情况书面报告、招标代理等环节，加大事中事后监管。督促依法必须招标项目招标人在资格预审公告、资格预审文件、招标公告、招标文件中，依法及时答复和处理有关主体依法提出的异议。</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市发展改革委</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市级招投标行业监管部门、市公共资源交易中心</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2350"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15</w:t>
            </w:r>
          </w:p>
        </w:tc>
        <w:tc>
          <w:tcPr>
            <w:tcW w:w="586"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提升政务服务水平</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完善政务大厅集中服务模式，推动更多政务服务事项“一件事一次办”。推动高频电子证照共享应用。落实全市政务服务“一张网”要求，除法律法规另有规定或涉及国家秘密等外，政务服务事项全部纳入平台办理，实现张掖政务服务网市县乡村全覆盖。推动高频政务服务事项“跨省通办”“省内通办”。加快推进“</w:t>
            </w:r>
            <w:r>
              <w:rPr>
                <w:rFonts w:hint="default" w:ascii="方正书宋_GBK" w:hAnsi="方正书宋_GBK"/>
                <w:sz w:val="22"/>
                <w:szCs w:val="22"/>
              </w:rPr>
              <w:t>12345</w:t>
            </w:r>
            <w:r>
              <w:rPr>
                <w:rFonts w:hint="default" w:ascii="方正书宋_GBK" w:hAnsi="方正书宋_GBK" w:eastAsia="方正书宋_GBK"/>
                <w:sz w:val="22"/>
                <w:szCs w:val="22"/>
              </w:rPr>
              <w:t>政务服务便民热线”建设、整合、优化工作，打造便捷、高效、规范、智慧的政务服务“总客服”。</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市政府办公室、</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市政务服务中心</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市直有关部门</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p>
        </w:tc>
      </w:tr>
      <w:tr>
        <w:tblPrEx>
          <w:tblCellMar>
            <w:top w:w="0" w:type="dxa"/>
            <w:left w:w="108" w:type="dxa"/>
            <w:bottom w:w="0" w:type="dxa"/>
            <w:right w:w="108" w:type="dxa"/>
          </w:tblCellMar>
        </w:tblPrEx>
        <w:trPr>
          <w:trHeight w:val="1490"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16</w:t>
            </w:r>
          </w:p>
        </w:tc>
        <w:tc>
          <w:tcPr>
            <w:tcW w:w="586" w:type="dxa"/>
            <w:vMerge w:val="continue"/>
            <w:tcBorders>
              <w:top w:val="nil"/>
              <w:left w:val="single" w:color="auto" w:sz="4" w:space="0"/>
              <w:bottom w:val="single" w:color="000000" w:sz="2" w:space="0"/>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加大知识产权保护和应用</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加快发展各类知识产权运营机构和平台。加大对民营企业和作坊加工业从业人员专利、发明保护。打击侵犯知识产权和制售假冒伪劣商品行为。到</w:t>
            </w:r>
            <w:r>
              <w:rPr>
                <w:rFonts w:hint="default" w:ascii="方正书宋_GBK" w:hAnsi="方正书宋_GBK"/>
                <w:sz w:val="22"/>
                <w:szCs w:val="22"/>
              </w:rPr>
              <w:t>2023</w:t>
            </w:r>
            <w:r>
              <w:rPr>
                <w:rFonts w:hint="default" w:ascii="方正书宋_GBK" w:hAnsi="方正书宋_GBK" w:eastAsia="方正书宋_GBK"/>
                <w:sz w:val="22"/>
                <w:szCs w:val="22"/>
              </w:rPr>
              <w:t>年底前，知识产权质押登记窗口办理时限压减至</w:t>
            </w:r>
            <w:r>
              <w:rPr>
                <w:rFonts w:hint="default" w:ascii="方正书宋_GBK" w:hAnsi="方正书宋_GBK"/>
                <w:sz w:val="22"/>
                <w:szCs w:val="22"/>
              </w:rPr>
              <w:t>3</w:t>
            </w:r>
            <w:r>
              <w:rPr>
                <w:rFonts w:hint="default" w:ascii="方正书宋_GBK" w:hAnsi="方正书宋_GBK" w:eastAsia="方正书宋_GBK"/>
                <w:sz w:val="22"/>
                <w:szCs w:val="22"/>
              </w:rPr>
              <w:t>个工作日。</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市市场监管局</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市科技局</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p>
        </w:tc>
      </w:tr>
      <w:tr>
        <w:tblPrEx>
          <w:tblCellMar>
            <w:top w:w="0" w:type="dxa"/>
            <w:left w:w="108" w:type="dxa"/>
            <w:bottom w:w="0" w:type="dxa"/>
            <w:right w:w="108" w:type="dxa"/>
          </w:tblCellMar>
        </w:tblPrEx>
        <w:trPr>
          <w:trHeight w:val="856"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序号</w:t>
            </w:r>
          </w:p>
        </w:tc>
        <w:tc>
          <w:tcPr>
            <w:tcW w:w="586" w:type="dxa"/>
            <w:tcBorders>
              <w:top w:val="single" w:color="000000" w:sz="2" w:space="0"/>
              <w:left w:val="single" w:color="auto" w:sz="4" w:space="0"/>
              <w:bottom w:val="single" w:color="000000" w:sz="2"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类别</w:t>
            </w: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主要措施</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主要内容</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牵头部门（单位）</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配合部门（单位）</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备注</w:t>
            </w:r>
          </w:p>
        </w:tc>
      </w:tr>
      <w:tr>
        <w:tblPrEx>
          <w:tblCellMar>
            <w:top w:w="0" w:type="dxa"/>
            <w:left w:w="108" w:type="dxa"/>
            <w:bottom w:w="0" w:type="dxa"/>
            <w:right w:w="108" w:type="dxa"/>
          </w:tblCellMar>
        </w:tblPrEx>
        <w:trPr>
          <w:trHeight w:val="1359"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17</w:t>
            </w:r>
          </w:p>
        </w:tc>
        <w:tc>
          <w:tcPr>
            <w:tcW w:w="586" w:type="dxa"/>
            <w:vMerge w:val="restart"/>
            <w:tcBorders>
              <w:top w:val="single" w:color="000000" w:sz="2" w:space="0"/>
              <w:left w:val="single" w:color="auto" w:sz="4" w:space="0"/>
              <w:bottom w:val="nil"/>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提升核心指标</w:t>
            </w: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创新市场监管方式</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实施市场准入负面清单制度和公平竞争审查制度，推动“非禁即入”普遍落实，保障民间资本享受同等的准入标准和优惠政策。实施准入前国民待遇加负面清单管理制度，鼓励外商投资。</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市发展改革委、</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市商务局</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市市场监管局</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p>
        </w:tc>
      </w:tr>
      <w:tr>
        <w:tblPrEx>
          <w:tblCellMar>
            <w:top w:w="0" w:type="dxa"/>
            <w:left w:w="108" w:type="dxa"/>
            <w:bottom w:w="0" w:type="dxa"/>
            <w:right w:w="108" w:type="dxa"/>
          </w:tblCellMar>
        </w:tblPrEx>
        <w:trPr>
          <w:trHeight w:val="1906"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18</w:t>
            </w:r>
          </w:p>
        </w:tc>
        <w:tc>
          <w:tcPr>
            <w:tcW w:w="586" w:type="dxa"/>
            <w:vMerge w:val="continue"/>
            <w:tcBorders>
              <w:top w:val="nil"/>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提高包容普惠创新指数</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加大对企业科技成果转化、前沿技术应用孵化、高新技术研究等扶持力度。围绕项目落地、企业经营和方便群众生活，合理布局公共服务设施，创造宜居宜业良好环境，促进交通便利。到</w:t>
            </w:r>
            <w:r>
              <w:rPr>
                <w:rFonts w:hint="default" w:ascii="方正书宋_GBK" w:hAnsi="方正书宋_GBK"/>
                <w:sz w:val="22"/>
                <w:szCs w:val="22"/>
              </w:rPr>
              <w:t>2023</w:t>
            </w:r>
            <w:r>
              <w:rPr>
                <w:rFonts w:hint="default" w:ascii="方正书宋_GBK" w:hAnsi="方正书宋_GBK" w:eastAsia="方正书宋_GBK"/>
                <w:sz w:val="22"/>
                <w:szCs w:val="22"/>
              </w:rPr>
              <w:t>年底前，高新技术企业达</w:t>
            </w:r>
            <w:r>
              <w:rPr>
                <w:rFonts w:hint="default" w:ascii="方正书宋_GBK" w:hAnsi="方正书宋_GBK"/>
                <w:sz w:val="22"/>
                <w:szCs w:val="22"/>
              </w:rPr>
              <w:t>130</w:t>
            </w:r>
            <w:r>
              <w:rPr>
                <w:rFonts w:hint="default" w:ascii="方正书宋_GBK" w:hAnsi="方正书宋_GBK" w:eastAsia="方正书宋_GBK"/>
                <w:sz w:val="22"/>
                <w:szCs w:val="22"/>
              </w:rPr>
              <w:t>家、科技型中小企业达</w:t>
            </w:r>
            <w:r>
              <w:rPr>
                <w:rFonts w:hint="default" w:ascii="方正书宋_GBK" w:hAnsi="方正书宋_GBK"/>
                <w:sz w:val="22"/>
                <w:szCs w:val="22"/>
              </w:rPr>
              <w:t>150</w:t>
            </w:r>
            <w:r>
              <w:rPr>
                <w:rFonts w:hint="default" w:ascii="方正书宋_GBK" w:hAnsi="方正书宋_GBK" w:eastAsia="方正书宋_GBK"/>
                <w:sz w:val="22"/>
                <w:szCs w:val="22"/>
              </w:rPr>
              <w:t>家，技术合同登记成交额达</w:t>
            </w:r>
            <w:r>
              <w:rPr>
                <w:rFonts w:hint="default" w:ascii="方正书宋_GBK" w:hAnsi="方正书宋_GBK"/>
                <w:sz w:val="22"/>
                <w:szCs w:val="22"/>
              </w:rPr>
              <w:t>30</w:t>
            </w:r>
            <w:r>
              <w:rPr>
                <w:rFonts w:hint="default" w:ascii="方正书宋_GBK" w:hAnsi="方正书宋_GBK" w:eastAsia="方正书宋_GBK"/>
                <w:sz w:val="22"/>
                <w:szCs w:val="22"/>
              </w:rPr>
              <w:t>亿元。</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市科技局</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市教育局、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市人社局、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市卫生健康委、</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市生态环境局、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市交通局</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p>
        </w:tc>
      </w:tr>
      <w:tr>
        <w:tblPrEx>
          <w:tblCellMar>
            <w:top w:w="0" w:type="dxa"/>
            <w:left w:w="108" w:type="dxa"/>
            <w:bottom w:w="0" w:type="dxa"/>
            <w:right w:w="108" w:type="dxa"/>
          </w:tblCellMar>
        </w:tblPrEx>
        <w:trPr>
          <w:trHeight w:val="2190"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19</w:t>
            </w:r>
          </w:p>
        </w:tc>
        <w:tc>
          <w:tcPr>
            <w:tcW w:w="586" w:type="dxa"/>
            <w:vMerge w:val="restart"/>
            <w:tcBorders>
              <w:top w:val="single" w:color="auto" w:sz="4" w:space="0"/>
              <w:left w:val="single" w:color="auto" w:sz="4" w:space="0"/>
              <w:bottom w:val="nil"/>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突破重点领域</w:t>
            </w: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深化“放管服”改革</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开展深化“放管服”改革优化营商环境提质提标年活动。推动“证照分离”改革全覆盖，在涉企经营许可、投资项目审批、证明事项等领域推行承诺制</w:t>
            </w:r>
            <w:r>
              <w:rPr>
                <w:rFonts w:hint="default" w:ascii="方正书宋_GBK" w:hAnsi="方正书宋_GBK"/>
                <w:sz w:val="22"/>
                <w:szCs w:val="22"/>
              </w:rPr>
              <w:t>;</w:t>
            </w:r>
            <w:r>
              <w:rPr>
                <w:rFonts w:hint="default" w:ascii="方正书宋_GBK" w:hAnsi="方正书宋_GBK" w:eastAsia="方正书宋_GBK"/>
                <w:sz w:val="22"/>
                <w:szCs w:val="22"/>
              </w:rPr>
              <w:t>完善“双随机、一公开”监管、信用监管、“互联网</w:t>
            </w:r>
            <w:r>
              <w:rPr>
                <w:rFonts w:hint="default" w:ascii="方正书宋_GBK" w:hAnsi="方正书宋_GBK"/>
                <w:sz w:val="22"/>
                <w:szCs w:val="22"/>
              </w:rPr>
              <w:t>+</w:t>
            </w:r>
            <w:r>
              <w:rPr>
                <w:rFonts w:hint="default" w:ascii="方正书宋_GBK" w:hAnsi="方正书宋_GBK" w:eastAsia="方正书宋_GBK"/>
                <w:sz w:val="22"/>
                <w:szCs w:val="22"/>
              </w:rPr>
              <w:t>监管”等有效做法，确保管出公平、管出质量。推动“不来即享”逐步向多领域、多层次拓展延伸。</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市政府办公室</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市发展改革委、</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市司法局、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市市场监管局、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市工信局、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市直有关部门</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2220"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20</w:t>
            </w:r>
          </w:p>
        </w:tc>
        <w:tc>
          <w:tcPr>
            <w:tcW w:w="586" w:type="dxa"/>
            <w:vMerge w:val="continue"/>
            <w:tcBorders>
              <w:top w:val="nil"/>
              <w:left w:val="single" w:color="auto" w:sz="4" w:space="0"/>
              <w:bottom w:val="single" w:color="000000" w:sz="2" w:space="0"/>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推动政务服务下基层</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完善市县乡各级综合性政务大厅集中服务模式，提升政务服务标准化水平</w:t>
            </w:r>
            <w:r>
              <w:rPr>
                <w:rFonts w:hint="default" w:ascii="方正书宋_GBK" w:hAnsi="方正书宋_GBK"/>
                <w:sz w:val="22"/>
                <w:szCs w:val="22"/>
              </w:rPr>
              <w:t>,</w:t>
            </w:r>
            <w:r>
              <w:rPr>
                <w:rFonts w:hint="default" w:ascii="方正书宋_GBK" w:hAnsi="方正书宋_GBK" w:eastAsia="方正书宋_GBK"/>
                <w:sz w:val="22"/>
                <w:szCs w:val="22"/>
              </w:rPr>
              <w:t>有条件的地方设置母婴室、图书室、活动室等公共服务场所，免费提供复印打印等服务。在园区、社区等生产生活一线建设政务服务“窗口”，提供便捷服务，让政务服务主动进社区、进企业、进群众。</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市政务服务中心</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市政府相关部门</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459"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序号</w:t>
            </w:r>
          </w:p>
        </w:tc>
        <w:tc>
          <w:tcPr>
            <w:tcW w:w="586" w:type="dxa"/>
            <w:tcBorders>
              <w:top w:val="single" w:color="000000" w:sz="2" w:space="0"/>
              <w:left w:val="single" w:color="auto" w:sz="4" w:space="0"/>
              <w:bottom w:val="single" w:color="000000" w:sz="2"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类别</w:t>
            </w: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主要措施</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主要内容</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牵头部门（单位）</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配合部门（单位）</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备注</w:t>
            </w:r>
          </w:p>
        </w:tc>
      </w:tr>
      <w:tr>
        <w:tblPrEx>
          <w:tblCellMar>
            <w:top w:w="0" w:type="dxa"/>
            <w:left w:w="108" w:type="dxa"/>
            <w:bottom w:w="0" w:type="dxa"/>
            <w:right w:w="108" w:type="dxa"/>
          </w:tblCellMar>
        </w:tblPrEx>
        <w:trPr>
          <w:trHeight w:val="1019"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21</w:t>
            </w:r>
          </w:p>
        </w:tc>
        <w:tc>
          <w:tcPr>
            <w:tcW w:w="586" w:type="dxa"/>
            <w:vMerge w:val="restart"/>
            <w:tcBorders>
              <w:top w:val="single" w:color="000000" w:sz="2" w:space="0"/>
              <w:left w:val="single" w:color="auto" w:sz="4" w:space="0"/>
              <w:bottom w:val="nil"/>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突破重点领域</w:t>
            </w: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提升招商引资服务保障水平</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健全招商引资项目对接、决策、督评工作机制，落实市级重大招商引资项目领导包抓和工作推进机制，支持县区推行重大招商引资项目“一企一策”，为投资企业提供全流程“项目管家式”服务。</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市招商局</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市政府相关部门</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1566"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22</w:t>
            </w:r>
          </w:p>
        </w:tc>
        <w:tc>
          <w:tcPr>
            <w:tcW w:w="586" w:type="dxa"/>
            <w:vMerge w:val="continue"/>
            <w:tcBorders>
              <w:top w:val="nil"/>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完善园区配套服务功能</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对符合条件的各类园区开展区域综合评估，实行规划、土地等事项联合验收。鼓励园区提供建筑红线</w:t>
            </w:r>
            <w:r>
              <w:rPr>
                <w:rFonts w:hint="default" w:ascii="方正书宋_GBK" w:hAnsi="方正书宋_GBK"/>
                <w:sz w:val="22"/>
                <w:szCs w:val="22"/>
              </w:rPr>
              <w:t>1</w:t>
            </w:r>
            <w:r>
              <w:rPr>
                <w:rFonts w:hint="default" w:ascii="方正书宋_GBK" w:hAnsi="方正书宋_GBK" w:eastAsia="方正书宋_GBK"/>
                <w:sz w:val="22"/>
                <w:szCs w:val="22"/>
              </w:rPr>
              <w:t>米外供电路暖气等设施，入园企业在厂区就近接入，配套铁路专用线等物流运输设施，健全公共信息服务平台。</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市发展改革委</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市委政法委、市工信局、市文广旅游局、市地震局、市自然资源局等</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1105"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23</w:t>
            </w:r>
          </w:p>
        </w:tc>
        <w:tc>
          <w:tcPr>
            <w:tcW w:w="586" w:type="dxa"/>
            <w:vMerge w:val="restart"/>
            <w:tcBorders>
              <w:top w:val="single" w:color="auto" w:sz="4" w:space="0"/>
              <w:left w:val="single" w:color="auto" w:sz="4" w:space="0"/>
              <w:bottom w:val="nil"/>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疏导关键堵点</w:t>
            </w: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畅通共享数据堵点</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打破部门信息不共享、系统不联通的数据壁垒，基本实现政务数据“全打通、全归集、全共享、全对接”。推动跨系统、跨部门、跨业务数据互联互认，实现“让数据多跑路、群众少跑腿”。</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市政府办公室</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市发展改革委、</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市信息办、</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市直有关部门</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1813" w:hRule="atLeast"/>
          <w:jc w:val="center"/>
        </w:trPr>
        <w:tc>
          <w:tcPr>
            <w:tcW w:w="549"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24</w:t>
            </w:r>
          </w:p>
        </w:tc>
        <w:tc>
          <w:tcPr>
            <w:tcW w:w="586"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1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疏通落实政策堵点</w:t>
            </w:r>
          </w:p>
        </w:tc>
        <w:tc>
          <w:tcPr>
            <w:tcW w:w="754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default" w:ascii="方正书宋_GBK" w:hAnsi="方正书宋_GBK" w:eastAsia="方正书宋_GBK"/>
                <w:sz w:val="22"/>
                <w:szCs w:val="22"/>
              </w:rPr>
            </w:pPr>
            <w:r>
              <w:rPr>
                <w:rFonts w:hint="default" w:ascii="方正书宋_GBK" w:hAnsi="方正书宋_GBK" w:eastAsia="方正书宋_GBK"/>
                <w:sz w:val="22"/>
                <w:szCs w:val="22"/>
              </w:rPr>
              <w:t>疏通落实政策堵点。破解政策落地不实、协调联动不畅等问题。健全历史遗留问题受理、处置、包抓等工作协调推进机制，实行台账管理和逐项销号。加快完善涉企政策归类、发布、查询、受理、审核、兑现全流程机制，建立政策兑现一网查询、一次申报、一口审核。加大政策宣讲、解读、指导和帮办力度。</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市政府各部门</w:t>
            </w:r>
          </w:p>
        </w:tc>
        <w:tc>
          <w:tcPr>
            <w:tcW w:w="1867"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市委宣传部</w:t>
            </w:r>
          </w:p>
        </w:tc>
        <w:tc>
          <w:tcPr>
            <w:tcW w:w="571"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p>
        </w:tc>
      </w:tr>
      <w:tr>
        <w:tblPrEx>
          <w:tblCellMar>
            <w:top w:w="0" w:type="dxa"/>
            <w:left w:w="108" w:type="dxa"/>
            <w:bottom w:w="0" w:type="dxa"/>
            <w:right w:w="108" w:type="dxa"/>
          </w:tblCellMar>
        </w:tblPrEx>
        <w:trPr>
          <w:trHeight w:val="2418" w:hRule="atLeast"/>
          <w:jc w:val="center"/>
        </w:trPr>
        <w:tc>
          <w:tcPr>
            <w:tcW w:w="549" w:type="dxa"/>
            <w:tcBorders>
              <w:top w:val="single" w:color="auto" w:sz="4" w:space="0"/>
              <w:left w:val="single" w:color="auto" w:sz="6"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25</w:t>
            </w:r>
          </w:p>
        </w:tc>
        <w:tc>
          <w:tcPr>
            <w:tcW w:w="586" w:type="dxa"/>
            <w:vMerge w:val="continue"/>
            <w:tcBorders>
              <w:top w:val="nil"/>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014"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打通配置要素堵点</w:t>
            </w:r>
          </w:p>
        </w:tc>
        <w:tc>
          <w:tcPr>
            <w:tcW w:w="7546"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清理闲置土地，盘活存量土地，产业用地可以采取长期租赁、先租后让、租让结合、弹性年期的方式供应。在符合国土空间规划的前提下，探索推动土地复合利用，实现两种或两种以上使用性质的用地类型，提高土地利用效率。破解融资难融资贵问题，鼓励和支持金融机构加大对民营企业、中小企业的支持力度，降低民营企业、中小企业综合融资成本。鼓励优质企业上市。解决人才引进难、留住难问题，落实人才服务机制，完善人才住房、子女教育、个人所得税奖励等政策。</w:t>
            </w:r>
          </w:p>
        </w:tc>
        <w:tc>
          <w:tcPr>
            <w:tcW w:w="1867"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市自然资源局、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市政府金融办、</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市委组织部、</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市人社局</w:t>
            </w:r>
          </w:p>
        </w:tc>
        <w:tc>
          <w:tcPr>
            <w:tcW w:w="1867"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市住建局、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市教育局、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市财政局</w:t>
            </w:r>
          </w:p>
        </w:tc>
        <w:tc>
          <w:tcPr>
            <w:tcW w:w="571" w:type="dxa"/>
            <w:tcBorders>
              <w:top w:val="single" w:color="auto" w:sz="4" w:space="0"/>
              <w:left w:val="single" w:color="auto" w:sz="4" w:space="0"/>
              <w:bottom w:val="single" w:color="auto" w:sz="6"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p>
        </w:tc>
      </w:tr>
    </w:tbl>
    <w:p/>
    <w:tbl>
      <w:tblPr>
        <w:tblStyle w:val="6"/>
        <w:tblW w:w="14090" w:type="dxa"/>
        <w:jc w:val="center"/>
        <w:tblLayout w:type="autofit"/>
        <w:tblCellMar>
          <w:top w:w="0" w:type="dxa"/>
          <w:left w:w="108" w:type="dxa"/>
          <w:bottom w:w="0" w:type="dxa"/>
          <w:right w:w="108" w:type="dxa"/>
        </w:tblCellMar>
      </w:tblPr>
      <w:tblGrid>
        <w:gridCol w:w="570"/>
        <w:gridCol w:w="640"/>
        <w:gridCol w:w="1160"/>
        <w:gridCol w:w="7290"/>
        <w:gridCol w:w="1894"/>
        <w:gridCol w:w="1866"/>
        <w:gridCol w:w="670"/>
      </w:tblGrid>
      <w:tr>
        <w:tblPrEx>
          <w:tblCellMar>
            <w:top w:w="0" w:type="dxa"/>
            <w:left w:w="108" w:type="dxa"/>
            <w:bottom w:w="0" w:type="dxa"/>
            <w:right w:w="108" w:type="dxa"/>
          </w:tblCellMar>
        </w:tblPrEx>
        <w:trPr>
          <w:trHeight w:val="619" w:hRule="atLeast"/>
          <w:jc w:val="center"/>
        </w:trPr>
        <w:tc>
          <w:tcPr>
            <w:tcW w:w="570" w:type="dxa"/>
            <w:tcBorders>
              <w:top w:val="single" w:color="auto" w:sz="6"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序号</w:t>
            </w:r>
          </w:p>
        </w:tc>
        <w:tc>
          <w:tcPr>
            <w:tcW w:w="640"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类别</w:t>
            </w:r>
          </w:p>
        </w:tc>
        <w:tc>
          <w:tcPr>
            <w:tcW w:w="1160"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主要措施</w:t>
            </w:r>
          </w:p>
        </w:tc>
        <w:tc>
          <w:tcPr>
            <w:tcW w:w="7290"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主要内容</w:t>
            </w:r>
          </w:p>
        </w:tc>
        <w:tc>
          <w:tcPr>
            <w:tcW w:w="1894"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牵头部门（单位）</w:t>
            </w:r>
          </w:p>
        </w:tc>
        <w:tc>
          <w:tcPr>
            <w:tcW w:w="1866" w:type="dxa"/>
            <w:tcBorders>
              <w:top w:val="single" w:color="auto" w:sz="6"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配合部门（单位）</w:t>
            </w:r>
          </w:p>
        </w:tc>
        <w:tc>
          <w:tcPr>
            <w:tcW w:w="670" w:type="dxa"/>
            <w:tcBorders>
              <w:top w:val="single" w:color="auto" w:sz="6"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备注</w:t>
            </w:r>
          </w:p>
        </w:tc>
      </w:tr>
      <w:tr>
        <w:tblPrEx>
          <w:tblCellMar>
            <w:top w:w="0" w:type="dxa"/>
            <w:left w:w="108" w:type="dxa"/>
            <w:bottom w:w="0" w:type="dxa"/>
            <w:right w:w="108" w:type="dxa"/>
          </w:tblCellMar>
        </w:tblPrEx>
        <w:trPr>
          <w:trHeight w:val="1779" w:hRule="atLeast"/>
          <w:jc w:val="center"/>
        </w:trPr>
        <w:tc>
          <w:tcPr>
            <w:tcW w:w="570"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26</w:t>
            </w:r>
          </w:p>
        </w:tc>
        <w:tc>
          <w:tcPr>
            <w:tcW w:w="64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疏导关键堵点</w:t>
            </w:r>
          </w:p>
        </w:tc>
        <w:tc>
          <w:tcPr>
            <w:tcW w:w="116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融通整合监管堵点</w:t>
            </w:r>
          </w:p>
        </w:tc>
        <w:tc>
          <w:tcPr>
            <w:tcW w:w="729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围绕部门联合双随机“一单两库一细则一计划”“互联网</w:t>
            </w:r>
            <w:r>
              <w:rPr>
                <w:rFonts w:hint="default" w:ascii="方正书宋_GBK" w:hAnsi="方正书宋_GBK"/>
                <w:sz w:val="22"/>
                <w:szCs w:val="22"/>
              </w:rPr>
              <w:t>+</w:t>
            </w:r>
            <w:r>
              <w:rPr>
                <w:rFonts w:hint="default" w:ascii="方正书宋_GBK" w:hAnsi="方正书宋_GBK" w:eastAsia="方正书宋_GBK"/>
                <w:sz w:val="22"/>
                <w:szCs w:val="22"/>
              </w:rPr>
              <w:t>监管”系统数据推送、涉企信息归集共享等基础工作的堵点难点问题，发挥联席会议作用，强化部门协同监管，实施联合惩戒，真正形成“一处违法、处处受限”的信用监管新格局。</w:t>
            </w:r>
          </w:p>
        </w:tc>
        <w:tc>
          <w:tcPr>
            <w:tcW w:w="189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市市场监管局</w:t>
            </w:r>
          </w:p>
        </w:tc>
        <w:tc>
          <w:tcPr>
            <w:tcW w:w="186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市直相关部门</w:t>
            </w:r>
          </w:p>
        </w:tc>
        <w:tc>
          <w:tcPr>
            <w:tcW w:w="670"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　</w:t>
            </w:r>
          </w:p>
        </w:tc>
      </w:tr>
      <w:tr>
        <w:tblPrEx>
          <w:tblCellMar>
            <w:top w:w="0" w:type="dxa"/>
            <w:left w:w="108" w:type="dxa"/>
            <w:bottom w:w="0" w:type="dxa"/>
            <w:right w:w="108" w:type="dxa"/>
          </w:tblCellMar>
        </w:tblPrEx>
        <w:trPr>
          <w:trHeight w:val="90" w:hRule="atLeast"/>
          <w:jc w:val="center"/>
        </w:trPr>
        <w:tc>
          <w:tcPr>
            <w:tcW w:w="570"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27</w:t>
            </w:r>
          </w:p>
        </w:tc>
        <w:tc>
          <w:tcPr>
            <w:tcW w:w="640" w:type="dxa"/>
            <w:vMerge w:val="restart"/>
            <w:tcBorders>
              <w:top w:val="single" w:color="auto" w:sz="4" w:space="0"/>
              <w:left w:val="single" w:color="auto" w:sz="4" w:space="0"/>
              <w:bottom w:val="nil"/>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强化工作保障</w:t>
            </w:r>
          </w:p>
        </w:tc>
        <w:tc>
          <w:tcPr>
            <w:tcW w:w="116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靠实主体责任</w:t>
            </w:r>
          </w:p>
        </w:tc>
        <w:tc>
          <w:tcPr>
            <w:tcW w:w="729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把营商环境作为“一把手”工程，持之以恒、常抓不懈，推动思想认识到位、责任落实到位、问题整改到位。各县区、各部门加强工作调度，形成合力，围绕措施目标任务，制定完善配套行动方案和工作措施，明确时限要求，形成上下齐抓共管、步调一致、合力攻坚的工作格局。</w:t>
            </w:r>
          </w:p>
        </w:tc>
        <w:tc>
          <w:tcPr>
            <w:tcW w:w="189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市委办公室、</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市政府办公室</w:t>
            </w:r>
          </w:p>
        </w:tc>
        <w:tc>
          <w:tcPr>
            <w:tcW w:w="186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市直相关部门</w:t>
            </w:r>
          </w:p>
        </w:tc>
        <w:tc>
          <w:tcPr>
            <w:tcW w:w="670"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31"/>
              <w:ind w:firstLine="0" w:firstLineChars="0"/>
              <w:jc w:val="center"/>
              <w:rPr>
                <w:rFonts w:hint="default" w:ascii="仿宋_GB2312" w:hAnsi="仿宋_GB2312" w:eastAsia="仿宋_GB2312"/>
                <w:sz w:val="21"/>
                <w:szCs w:val="21"/>
              </w:rPr>
            </w:pPr>
            <w:r>
              <w:rPr>
                <w:rFonts w:hint="default" w:ascii="仿宋_GB2312" w:hAnsi="仿宋_GB2312" w:eastAsia="仿宋_GB2312"/>
                <w:sz w:val="21"/>
                <w:szCs w:val="21"/>
              </w:rPr>
              <w:t>　</w:t>
            </w:r>
          </w:p>
        </w:tc>
      </w:tr>
      <w:tr>
        <w:tblPrEx>
          <w:tblCellMar>
            <w:top w:w="0" w:type="dxa"/>
            <w:left w:w="108" w:type="dxa"/>
            <w:bottom w:w="0" w:type="dxa"/>
            <w:right w:w="108" w:type="dxa"/>
          </w:tblCellMar>
        </w:tblPrEx>
        <w:trPr>
          <w:trHeight w:val="2557" w:hRule="atLeast"/>
          <w:jc w:val="center"/>
        </w:trPr>
        <w:tc>
          <w:tcPr>
            <w:tcW w:w="570"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28</w:t>
            </w:r>
          </w:p>
        </w:tc>
        <w:tc>
          <w:tcPr>
            <w:tcW w:w="640"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16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加大考核监督</w:t>
            </w:r>
          </w:p>
        </w:tc>
        <w:tc>
          <w:tcPr>
            <w:tcW w:w="729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将营商环境便利度纳入全市高质量发展综合评估指标体系，加强优化营商环境工作推进情况的监督检查，推动全市营商环境不断优化。加快建立法治化营商环境问题投诉举报平台，健全各级转办、督办机制</w:t>
            </w:r>
            <w:r>
              <w:rPr>
                <w:rFonts w:hint="default" w:ascii="方正书宋_GBK" w:hAnsi="方正书宋_GBK"/>
                <w:sz w:val="22"/>
                <w:szCs w:val="22"/>
              </w:rPr>
              <w:t>;</w:t>
            </w:r>
            <w:r>
              <w:rPr>
                <w:rFonts w:hint="default" w:ascii="方正书宋_GBK" w:hAnsi="方正书宋_GBK" w:eastAsia="方正书宋_GBK"/>
                <w:sz w:val="22"/>
                <w:szCs w:val="22"/>
              </w:rPr>
              <w:t>对于发现有突出违法问题或工作不落实问题，加大惩戒、问责力度，对于典型问题及时向社会公开曝光，情节严重的移送纪检监察机关。</w:t>
            </w:r>
          </w:p>
        </w:tc>
        <w:tc>
          <w:tcPr>
            <w:tcW w:w="189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市委组织部、</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市发展改革委</w:t>
            </w:r>
          </w:p>
        </w:tc>
        <w:tc>
          <w:tcPr>
            <w:tcW w:w="186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市纪委监委机关</w:t>
            </w:r>
          </w:p>
        </w:tc>
        <w:tc>
          <w:tcPr>
            <w:tcW w:w="670"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31"/>
              <w:ind w:firstLine="0" w:firstLineChars="0"/>
              <w:jc w:val="center"/>
              <w:rPr>
                <w:rFonts w:hint="default" w:ascii="仿宋_GB2312" w:hAnsi="仿宋_GB2312" w:eastAsia="仿宋_GB2312"/>
                <w:sz w:val="21"/>
                <w:szCs w:val="21"/>
              </w:rPr>
            </w:pPr>
            <w:r>
              <w:rPr>
                <w:rFonts w:hint="default" w:ascii="仿宋_GB2312" w:hAnsi="仿宋_GB2312" w:eastAsia="仿宋_GB2312"/>
                <w:sz w:val="21"/>
                <w:szCs w:val="21"/>
              </w:rPr>
              <w:t>　</w:t>
            </w:r>
          </w:p>
        </w:tc>
      </w:tr>
      <w:tr>
        <w:tblPrEx>
          <w:tblCellMar>
            <w:top w:w="0" w:type="dxa"/>
            <w:left w:w="108" w:type="dxa"/>
            <w:bottom w:w="0" w:type="dxa"/>
            <w:right w:w="108" w:type="dxa"/>
          </w:tblCellMar>
        </w:tblPrEx>
        <w:trPr>
          <w:trHeight w:val="1685" w:hRule="atLeast"/>
          <w:jc w:val="center"/>
        </w:trPr>
        <w:tc>
          <w:tcPr>
            <w:tcW w:w="570"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29</w:t>
            </w:r>
          </w:p>
        </w:tc>
        <w:tc>
          <w:tcPr>
            <w:tcW w:w="640" w:type="dxa"/>
            <w:vMerge w:val="continue"/>
            <w:tcBorders>
              <w:top w:val="nil"/>
              <w:left w:val="single" w:color="auto" w:sz="4" w:space="0"/>
              <w:bottom w:val="single" w:color="000000" w:sz="2" w:space="0"/>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16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建设法治政府</w:t>
            </w:r>
          </w:p>
        </w:tc>
        <w:tc>
          <w:tcPr>
            <w:tcW w:w="729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健全涉企政策制定企业参与程序，全面推行规范性文件合法性审核机制。定期开展涉及市场主体经济活动的规范性文件和政策性文件清理。推进规范公正文明执法。开展民营企业、小微企业“法治体检”和“送法进企业”活动。</w:t>
            </w:r>
          </w:p>
        </w:tc>
        <w:tc>
          <w:tcPr>
            <w:tcW w:w="189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市司法局</w:t>
            </w:r>
          </w:p>
        </w:tc>
        <w:tc>
          <w:tcPr>
            <w:tcW w:w="186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市直有关部门</w:t>
            </w:r>
          </w:p>
        </w:tc>
        <w:tc>
          <w:tcPr>
            <w:tcW w:w="670"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31"/>
              <w:ind w:firstLine="0" w:firstLineChars="0"/>
              <w:jc w:val="center"/>
              <w:rPr>
                <w:rFonts w:hint="default" w:ascii="仿宋_GB2312" w:hAnsi="仿宋_GB2312" w:eastAsia="仿宋_GB2312"/>
                <w:sz w:val="21"/>
                <w:szCs w:val="21"/>
              </w:rPr>
            </w:pPr>
            <w:r>
              <w:rPr>
                <w:rFonts w:hint="default" w:ascii="仿宋_GB2312" w:hAnsi="仿宋_GB2312" w:eastAsia="仿宋_GB2312"/>
                <w:sz w:val="21"/>
                <w:szCs w:val="21"/>
              </w:rPr>
              <w:t>　</w:t>
            </w:r>
          </w:p>
        </w:tc>
      </w:tr>
      <w:tr>
        <w:tblPrEx>
          <w:tblCellMar>
            <w:top w:w="0" w:type="dxa"/>
            <w:left w:w="108" w:type="dxa"/>
            <w:bottom w:w="0" w:type="dxa"/>
            <w:right w:w="108" w:type="dxa"/>
          </w:tblCellMar>
        </w:tblPrEx>
        <w:trPr>
          <w:trHeight w:val="590" w:hRule="atLeast"/>
          <w:jc w:val="center"/>
        </w:trPr>
        <w:tc>
          <w:tcPr>
            <w:tcW w:w="570"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序号</w:t>
            </w:r>
          </w:p>
        </w:tc>
        <w:tc>
          <w:tcPr>
            <w:tcW w:w="640" w:type="dxa"/>
            <w:tcBorders>
              <w:top w:val="single" w:color="000000" w:sz="2" w:space="0"/>
              <w:left w:val="single" w:color="auto" w:sz="4" w:space="0"/>
              <w:bottom w:val="single" w:color="000000" w:sz="2"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类别</w:t>
            </w:r>
          </w:p>
        </w:tc>
        <w:tc>
          <w:tcPr>
            <w:tcW w:w="116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主要措施</w:t>
            </w:r>
          </w:p>
        </w:tc>
        <w:tc>
          <w:tcPr>
            <w:tcW w:w="729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主要内容</w:t>
            </w:r>
          </w:p>
        </w:tc>
        <w:tc>
          <w:tcPr>
            <w:tcW w:w="189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牵头部门（单位）</w:t>
            </w:r>
          </w:p>
        </w:tc>
        <w:tc>
          <w:tcPr>
            <w:tcW w:w="186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配合部门（单位）</w:t>
            </w:r>
          </w:p>
        </w:tc>
        <w:tc>
          <w:tcPr>
            <w:tcW w:w="670"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r>
              <w:rPr>
                <w:rFonts w:hint="default" w:ascii="黑体" w:hAnsi="黑体" w:eastAsia="黑体"/>
                <w:sz w:val="22"/>
                <w:szCs w:val="22"/>
              </w:rPr>
              <w:t>备注</w:t>
            </w:r>
          </w:p>
        </w:tc>
      </w:tr>
      <w:tr>
        <w:tblPrEx>
          <w:tblCellMar>
            <w:top w:w="0" w:type="dxa"/>
            <w:left w:w="108" w:type="dxa"/>
            <w:bottom w:w="0" w:type="dxa"/>
            <w:right w:w="108" w:type="dxa"/>
          </w:tblCellMar>
        </w:tblPrEx>
        <w:trPr>
          <w:trHeight w:val="1877" w:hRule="atLeast"/>
          <w:jc w:val="center"/>
        </w:trPr>
        <w:tc>
          <w:tcPr>
            <w:tcW w:w="570"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30</w:t>
            </w:r>
          </w:p>
        </w:tc>
        <w:tc>
          <w:tcPr>
            <w:tcW w:w="640" w:type="dxa"/>
            <w:vMerge w:val="restart"/>
            <w:tcBorders>
              <w:top w:val="single" w:color="000000" w:sz="2" w:space="0"/>
              <w:left w:val="single" w:color="auto" w:sz="4" w:space="0"/>
              <w:bottom w:val="nil"/>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强化工作保障</w:t>
            </w:r>
          </w:p>
        </w:tc>
        <w:tc>
          <w:tcPr>
            <w:tcW w:w="116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加强诚信建设</w:t>
            </w:r>
          </w:p>
        </w:tc>
        <w:tc>
          <w:tcPr>
            <w:tcW w:w="729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健全政务诚信、商务诚信、社会诚信和司法公信等信用体系，完善跨部门、跨领域、跨地区的守信激励和失信惩戒机制。构</w:t>
            </w:r>
            <w:r>
              <w:rPr>
                <w:rFonts w:hint="default" w:ascii="方正书宋_GBK" w:hAnsi="方正书宋_GBK"/>
                <w:sz w:val="22"/>
                <w:szCs w:val="22"/>
              </w:rPr>
              <w:t>c30030</w:t>
            </w:r>
            <w:r>
              <w:rPr>
                <w:rFonts w:hint="default" w:ascii="方正书宋_GBK" w:hAnsi="方正书宋_GBK" w:eastAsia="方正书宋_GBK"/>
                <w:sz w:val="22"/>
                <w:szCs w:val="22"/>
              </w:rPr>
              <w:t>建差异化监管模式，形成全市统一的信用分级分类指标体系。完善有利于自我纠错、主动自新的信用修复机制。严肃整治“新官不理旧账”、违约违诺等失信问题。</w:t>
            </w:r>
          </w:p>
        </w:tc>
        <w:tc>
          <w:tcPr>
            <w:tcW w:w="189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市委发展改革委</w:t>
            </w:r>
          </w:p>
        </w:tc>
        <w:tc>
          <w:tcPr>
            <w:tcW w:w="186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市委组织部、</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市委宣传部</w:t>
            </w:r>
          </w:p>
        </w:tc>
        <w:tc>
          <w:tcPr>
            <w:tcW w:w="670"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黑体" w:hAnsi="黑体" w:eastAsia="黑体"/>
                <w:sz w:val="22"/>
                <w:szCs w:val="22"/>
              </w:rPr>
            </w:pPr>
          </w:p>
        </w:tc>
      </w:tr>
      <w:tr>
        <w:tblPrEx>
          <w:tblCellMar>
            <w:top w:w="0" w:type="dxa"/>
            <w:left w:w="108" w:type="dxa"/>
            <w:bottom w:w="0" w:type="dxa"/>
            <w:right w:w="108" w:type="dxa"/>
          </w:tblCellMar>
        </w:tblPrEx>
        <w:trPr>
          <w:trHeight w:val="2405" w:hRule="atLeast"/>
          <w:jc w:val="center"/>
        </w:trPr>
        <w:tc>
          <w:tcPr>
            <w:tcW w:w="570"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31</w:t>
            </w:r>
          </w:p>
        </w:tc>
        <w:tc>
          <w:tcPr>
            <w:tcW w:w="640"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16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营造平安环境</w:t>
            </w:r>
          </w:p>
        </w:tc>
        <w:tc>
          <w:tcPr>
            <w:tcW w:w="729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完善“护航警官”措施，“一对一”为企业精准提供业务办理、户籍管理、数据核查、绿色通道、警企互动等优质服务。积极探索行政柔性执法方式，全面落实“两轻一免”清单，为市场主体提供“容错支持”。对涉企利益重大案件实行市级督办、提级侦办、专案专办、限期结案。加强企业和项目园区周边环境综合整治。对涉企警情第一时间快速处置。</w:t>
            </w:r>
          </w:p>
        </w:tc>
        <w:tc>
          <w:tcPr>
            <w:tcW w:w="189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市公安局、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市司法局</w:t>
            </w:r>
          </w:p>
        </w:tc>
        <w:tc>
          <w:tcPr>
            <w:tcW w:w="186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市直有关部门</w:t>
            </w:r>
          </w:p>
        </w:tc>
        <w:tc>
          <w:tcPr>
            <w:tcW w:w="670"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31"/>
              <w:ind w:firstLine="0" w:firstLineChars="0"/>
              <w:jc w:val="center"/>
              <w:rPr>
                <w:rFonts w:hint="default" w:ascii="仿宋_GB2312" w:hAnsi="仿宋_GB2312" w:eastAsia="仿宋_GB2312"/>
                <w:sz w:val="21"/>
                <w:szCs w:val="21"/>
              </w:rPr>
            </w:pPr>
            <w:r>
              <w:rPr>
                <w:rFonts w:hint="default" w:ascii="仿宋_GB2312" w:hAnsi="仿宋_GB2312" w:eastAsia="仿宋_GB2312"/>
                <w:sz w:val="21"/>
                <w:szCs w:val="21"/>
              </w:rPr>
              <w:t>　</w:t>
            </w:r>
          </w:p>
        </w:tc>
      </w:tr>
      <w:tr>
        <w:tblPrEx>
          <w:tblCellMar>
            <w:top w:w="0" w:type="dxa"/>
            <w:left w:w="108" w:type="dxa"/>
            <w:bottom w:w="0" w:type="dxa"/>
            <w:right w:w="108" w:type="dxa"/>
          </w:tblCellMar>
        </w:tblPrEx>
        <w:trPr>
          <w:trHeight w:val="1725" w:hRule="atLeast"/>
          <w:jc w:val="center"/>
        </w:trPr>
        <w:tc>
          <w:tcPr>
            <w:tcW w:w="570" w:type="dxa"/>
            <w:tcBorders>
              <w:top w:val="single" w:color="auto" w:sz="4" w:space="0"/>
              <w:left w:val="single" w:color="auto" w:sz="6"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32</w:t>
            </w:r>
          </w:p>
        </w:tc>
        <w:tc>
          <w:tcPr>
            <w:tcW w:w="640" w:type="dxa"/>
            <w:vMerge w:val="continue"/>
            <w:tcBorders>
              <w:top w:val="nil"/>
              <w:left w:val="single" w:color="auto" w:sz="4" w:space="0"/>
              <w:bottom w:val="nil"/>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16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发挥商协会作用</w:t>
            </w:r>
          </w:p>
        </w:tc>
        <w:tc>
          <w:tcPr>
            <w:tcW w:w="7290"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采取“培育一批、登记一批、规范一批”的方式，在民政部门现已登记的商协会基础上，重点在新产业、新业态等领域培育发展商协会。充分利用商协会资源，宣传张掖营商环境政策，加大以商招商。</w:t>
            </w:r>
          </w:p>
        </w:tc>
        <w:tc>
          <w:tcPr>
            <w:tcW w:w="1894"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市委统战部、</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市民政局、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市工商联</w:t>
            </w:r>
          </w:p>
        </w:tc>
        <w:tc>
          <w:tcPr>
            <w:tcW w:w="1866" w:type="dxa"/>
            <w:tcBorders>
              <w:top w:val="single" w:color="auto" w:sz="4" w:space="0"/>
              <w:left w:val="single" w:color="auto" w:sz="4" w:space="0"/>
              <w:bottom w:val="single" w:color="auto" w:sz="4"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市招商局</w:t>
            </w:r>
          </w:p>
        </w:tc>
        <w:tc>
          <w:tcPr>
            <w:tcW w:w="670" w:type="dxa"/>
            <w:tcBorders>
              <w:top w:val="single" w:color="auto" w:sz="4" w:space="0"/>
              <w:left w:val="single" w:color="auto" w:sz="4" w:space="0"/>
              <w:bottom w:val="single" w:color="auto" w:sz="4" w:space="0"/>
              <w:right w:val="single" w:color="auto" w:sz="6" w:space="0"/>
            </w:tcBorders>
            <w:shd w:val="clear" w:color="auto" w:fill="FFFFFF"/>
            <w:tcMar>
              <w:top w:w="45" w:type="dxa"/>
              <w:left w:w="45" w:type="dxa"/>
              <w:bottom w:w="45" w:type="dxa"/>
              <w:right w:w="45" w:type="dxa"/>
            </w:tcMar>
            <w:vAlign w:val="center"/>
          </w:tcPr>
          <w:p>
            <w:pPr>
              <w:pStyle w:val="31"/>
              <w:ind w:firstLine="0" w:firstLineChars="0"/>
              <w:jc w:val="center"/>
              <w:rPr>
                <w:rFonts w:hint="default" w:ascii="仿宋_GB2312" w:hAnsi="仿宋_GB2312" w:eastAsia="仿宋_GB2312"/>
                <w:sz w:val="21"/>
                <w:szCs w:val="21"/>
              </w:rPr>
            </w:pPr>
            <w:r>
              <w:rPr>
                <w:rFonts w:hint="default" w:ascii="仿宋_GB2312" w:hAnsi="仿宋_GB2312" w:eastAsia="仿宋_GB2312"/>
                <w:sz w:val="21"/>
                <w:szCs w:val="21"/>
              </w:rPr>
              <w:t>　</w:t>
            </w:r>
          </w:p>
        </w:tc>
      </w:tr>
      <w:tr>
        <w:tblPrEx>
          <w:tblCellMar>
            <w:top w:w="0" w:type="dxa"/>
            <w:left w:w="108" w:type="dxa"/>
            <w:bottom w:w="0" w:type="dxa"/>
            <w:right w:w="108" w:type="dxa"/>
          </w:tblCellMar>
        </w:tblPrEx>
        <w:trPr>
          <w:trHeight w:val="1632" w:hRule="atLeast"/>
          <w:jc w:val="center"/>
        </w:trPr>
        <w:tc>
          <w:tcPr>
            <w:tcW w:w="570" w:type="dxa"/>
            <w:tcBorders>
              <w:top w:val="single" w:color="auto" w:sz="4" w:space="0"/>
              <w:left w:val="single" w:color="auto" w:sz="6"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sz w:val="22"/>
                <w:szCs w:val="22"/>
              </w:rPr>
              <w:t>33</w:t>
            </w:r>
          </w:p>
        </w:tc>
        <w:tc>
          <w:tcPr>
            <w:tcW w:w="640" w:type="dxa"/>
            <w:vMerge w:val="continue"/>
            <w:tcBorders>
              <w:top w:val="nil"/>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ind w:firstLine="0" w:firstLineChars="0"/>
            </w:pPr>
          </w:p>
        </w:tc>
        <w:tc>
          <w:tcPr>
            <w:tcW w:w="1160"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加强宣传引导</w:t>
            </w:r>
          </w:p>
        </w:tc>
        <w:tc>
          <w:tcPr>
            <w:tcW w:w="7290"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rPr>
                <w:rFonts w:hint="default" w:ascii="方正书宋_GBK" w:hAnsi="方正书宋_GBK" w:eastAsia="方正书宋_GBK"/>
                <w:sz w:val="22"/>
                <w:szCs w:val="22"/>
              </w:rPr>
            </w:pPr>
            <w:r>
              <w:rPr>
                <w:rFonts w:hint="default" w:ascii="方正书宋_GBK" w:hAnsi="方正书宋_GBK" w:eastAsia="方正书宋_GBK"/>
                <w:sz w:val="22"/>
                <w:szCs w:val="22"/>
              </w:rPr>
              <w:t>将营商环境宣传推介纳入宣传工作重点，充分利用各类载体，宣传营商环境政策措施、经验做法和成果成效，加强正向激励和标杆引导</w:t>
            </w:r>
            <w:r>
              <w:rPr>
                <w:rFonts w:hint="default" w:ascii="方正书宋_GBK" w:hAnsi="方正书宋_GBK"/>
                <w:sz w:val="22"/>
                <w:szCs w:val="22"/>
              </w:rPr>
              <w:t>;</w:t>
            </w:r>
            <w:r>
              <w:rPr>
                <w:rFonts w:hint="default" w:ascii="方正书宋_GBK" w:hAnsi="方正书宋_GBK" w:eastAsia="方正书宋_GBK"/>
                <w:sz w:val="22"/>
                <w:szCs w:val="22"/>
              </w:rPr>
              <w:t>及时总结特色亮点，主动向重要媒体刊登播发，营造浓厚的社会氛围。</w:t>
            </w:r>
          </w:p>
        </w:tc>
        <w:tc>
          <w:tcPr>
            <w:tcW w:w="1894"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市委宣传部</w:t>
            </w:r>
          </w:p>
        </w:tc>
        <w:tc>
          <w:tcPr>
            <w:tcW w:w="1866" w:type="dxa"/>
            <w:tcBorders>
              <w:top w:val="single" w:color="auto" w:sz="4" w:space="0"/>
              <w:left w:val="single" w:color="auto" w:sz="4" w:space="0"/>
              <w:bottom w:val="single" w:color="auto" w:sz="6" w:space="0"/>
              <w:right w:val="single" w:color="auto" w:sz="4" w:space="0"/>
            </w:tcBorders>
            <w:shd w:val="clear" w:color="auto" w:fill="FFFFFF"/>
            <w:tcMar>
              <w:top w:w="45" w:type="dxa"/>
              <w:left w:w="45" w:type="dxa"/>
              <w:bottom w:w="45" w:type="dxa"/>
              <w:right w:w="45" w:type="dxa"/>
            </w:tcMar>
            <w:vAlign w:val="center"/>
          </w:tcPr>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市文广旅游局、</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市电视台、</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张掖日报社、</w:t>
            </w:r>
          </w:p>
          <w:p>
            <w:pPr>
              <w:pStyle w:val="29"/>
              <w:ind w:firstLine="0" w:firstLineChars="0"/>
              <w:jc w:val="center"/>
              <w:rPr>
                <w:rFonts w:hint="default" w:ascii="方正书宋_GBK" w:hAnsi="方正书宋_GBK" w:eastAsia="方正书宋_GBK"/>
                <w:sz w:val="22"/>
                <w:szCs w:val="22"/>
              </w:rPr>
            </w:pPr>
            <w:r>
              <w:rPr>
                <w:rFonts w:hint="default" w:ascii="方正书宋_GBK" w:hAnsi="方正书宋_GBK" w:eastAsia="方正书宋_GBK"/>
                <w:sz w:val="22"/>
                <w:szCs w:val="22"/>
              </w:rPr>
              <w:t>市信息办</w:t>
            </w:r>
          </w:p>
        </w:tc>
        <w:tc>
          <w:tcPr>
            <w:tcW w:w="670" w:type="dxa"/>
            <w:tcBorders>
              <w:top w:val="single" w:color="auto" w:sz="4" w:space="0"/>
              <w:left w:val="single" w:color="auto" w:sz="4" w:space="0"/>
              <w:bottom w:val="single" w:color="auto" w:sz="6" w:space="0"/>
              <w:right w:val="single" w:color="auto" w:sz="6" w:space="0"/>
            </w:tcBorders>
            <w:shd w:val="clear" w:color="auto" w:fill="FFFFFF"/>
            <w:tcMar>
              <w:top w:w="45" w:type="dxa"/>
              <w:left w:w="45" w:type="dxa"/>
              <w:bottom w:w="45" w:type="dxa"/>
              <w:right w:w="45" w:type="dxa"/>
            </w:tcMar>
            <w:vAlign w:val="center"/>
          </w:tcPr>
          <w:p>
            <w:pPr>
              <w:pStyle w:val="31"/>
              <w:ind w:firstLine="0" w:firstLineChars="0"/>
              <w:jc w:val="center"/>
              <w:rPr>
                <w:rFonts w:hint="default" w:ascii="仿宋_GB2312" w:hAnsi="仿宋_GB2312" w:eastAsia="仿宋_GB2312"/>
                <w:sz w:val="21"/>
                <w:szCs w:val="21"/>
              </w:rPr>
            </w:pPr>
            <w:r>
              <w:rPr>
                <w:rFonts w:hint="default" w:ascii="仿宋_GB2312" w:hAnsi="仿宋_GB2312" w:eastAsia="仿宋_GB2312"/>
                <w:sz w:val="21"/>
                <w:szCs w:val="21"/>
              </w:rPr>
              <w:t>　</w:t>
            </w:r>
          </w:p>
        </w:tc>
      </w:tr>
    </w:tbl>
    <w:p>
      <w:pPr>
        <w:pStyle w:val="28"/>
        <w:ind w:firstLine="0" w:firstLineChars="0"/>
        <w:rPr>
          <w:rFonts w:hint="default" w:eastAsia="方正书宋_GBK"/>
          <w:sz w:val="24"/>
          <w:szCs w:val="24"/>
        </w:rPr>
      </w:pPr>
    </w:p>
    <w:sectPr>
      <w:footnotePr>
        <w:numFmt w:val="decimalEnclosedCircleChinese"/>
      </w:footnotePr>
      <w:pgSz w:w="16839" w:h="11907" w:orient="landscape"/>
      <w:pgMar w:top="1247" w:right="1417" w:bottom="1247" w:left="141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NEU-BZ">
    <w:altName w:val="宋体"/>
    <w:panose1 w:val="02010600010101010101"/>
    <w:charset w:val="86"/>
    <w:family w:val="script"/>
    <w:pitch w:val="default"/>
    <w:sig w:usb0="00000000" w:usb1="00000000" w:usb2="000A005E" w:usb3="00000000" w:csb0="003C0041" w:csb1="00000000"/>
  </w:font>
  <w:font w:name="Tahoma">
    <w:panose1 w:val="020B0604030504040204"/>
    <w:charset w:val="00"/>
    <w:family w:val="swiss"/>
    <w:pitch w:val="default"/>
    <w:sig w:usb0="E1002EFF" w:usb1="C000605B" w:usb2="00000029" w:usb3="00000000" w:csb0="200101FF" w:csb1="2028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黑体_GBK">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2"/>
  </w:compat>
  <w:rsids>
    <w:rsidRoot w:val="00FA57C3"/>
    <w:rsid w:val="000120E3"/>
    <w:rsid w:val="00043C97"/>
    <w:rsid w:val="00051636"/>
    <w:rsid w:val="0006373F"/>
    <w:rsid w:val="00075369"/>
    <w:rsid w:val="000B623B"/>
    <w:rsid w:val="001302C8"/>
    <w:rsid w:val="0013235C"/>
    <w:rsid w:val="00152ED9"/>
    <w:rsid w:val="001C5ADF"/>
    <w:rsid w:val="002068E6"/>
    <w:rsid w:val="00292EDB"/>
    <w:rsid w:val="00326389"/>
    <w:rsid w:val="00327CDE"/>
    <w:rsid w:val="00391EE7"/>
    <w:rsid w:val="003B1CD3"/>
    <w:rsid w:val="00405CA5"/>
    <w:rsid w:val="00451408"/>
    <w:rsid w:val="00486645"/>
    <w:rsid w:val="0049669A"/>
    <w:rsid w:val="004A2F49"/>
    <w:rsid w:val="004A3019"/>
    <w:rsid w:val="00510EA2"/>
    <w:rsid w:val="005156A7"/>
    <w:rsid w:val="005243A2"/>
    <w:rsid w:val="00535272"/>
    <w:rsid w:val="005518C6"/>
    <w:rsid w:val="0058578F"/>
    <w:rsid w:val="005B0CFB"/>
    <w:rsid w:val="005F127C"/>
    <w:rsid w:val="006C537E"/>
    <w:rsid w:val="006E28A5"/>
    <w:rsid w:val="00720332"/>
    <w:rsid w:val="0081363D"/>
    <w:rsid w:val="00843D10"/>
    <w:rsid w:val="008B3DDC"/>
    <w:rsid w:val="009217BC"/>
    <w:rsid w:val="00960619"/>
    <w:rsid w:val="00971BFB"/>
    <w:rsid w:val="009D7281"/>
    <w:rsid w:val="009F4C47"/>
    <w:rsid w:val="00A33F40"/>
    <w:rsid w:val="00AB315B"/>
    <w:rsid w:val="00B308B8"/>
    <w:rsid w:val="00B82B68"/>
    <w:rsid w:val="00BA1E36"/>
    <w:rsid w:val="00BF17C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DC0"/>
    <w:rsid w:val="00EB4538"/>
    <w:rsid w:val="00F043AD"/>
    <w:rsid w:val="00F2499B"/>
    <w:rsid w:val="00F81A0E"/>
    <w:rsid w:val="00FA57C3"/>
    <w:rsid w:val="00FC4922"/>
    <w:rsid w:val="11310B46"/>
    <w:rsid w:val="1C7F52D6"/>
    <w:rsid w:val="3EB34D16"/>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NEU-BZ"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Ansi="NEU-BZ" w:asciiTheme="minorHAnsi" w:eastAsiaTheme="minorEastAsia" w:cstheme="minorBidi"/>
      <w:sz w:val="22"/>
      <w:szCs w:val="22"/>
      <w:lang w:val="en-US" w:eastAsia="zh-CN" w:bidi="ar-SA"/>
    </w:rPr>
  </w:style>
  <w:style w:type="character" w:default="1" w:styleId="9">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unhideWhenUsed/>
    <w:uiPriority w:val="99"/>
    <w:rPr>
      <w:rFonts w:ascii="Tahoma" w:hAnsi="Tahoma" w:cs="Tahoma"/>
      <w:sz w:val="16"/>
      <w:szCs w:val="16"/>
    </w:rPr>
  </w:style>
  <w:style w:type="paragraph" w:styleId="3">
    <w:name w:val="footer"/>
    <w:basedOn w:val="1"/>
    <w:link w:val="12"/>
    <w:unhideWhenUsed/>
    <w:uiPriority w:val="99"/>
    <w:pPr>
      <w:tabs>
        <w:tab w:val="center" w:pos="4513"/>
        <w:tab w:val="right" w:pos="9026"/>
      </w:tabs>
    </w:pPr>
  </w:style>
  <w:style w:type="paragraph" w:styleId="4">
    <w:name w:val="header"/>
    <w:basedOn w:val="1"/>
    <w:link w:val="11"/>
    <w:unhideWhenUsed/>
    <w:uiPriority w:val="99"/>
    <w:pPr>
      <w:tabs>
        <w:tab w:val="center" w:pos="4513"/>
        <w:tab w:val="right" w:pos="9026"/>
      </w:tabs>
    </w:pPr>
  </w:style>
  <w:style w:type="paragraph" w:styleId="5">
    <w:name w:val="footnote text"/>
    <w:basedOn w:val="1"/>
    <w:link w:val="19"/>
    <w:semiHidden/>
    <w:unhideWhenUsed/>
    <w:uiPriority w:val="99"/>
    <w:pPr>
      <w:snapToGrid w:val="0"/>
    </w:pPr>
    <w:rPr>
      <w:sz w:val="18"/>
      <w:szCs w:val="18"/>
    </w:rPr>
  </w:style>
  <w:style w:type="table" w:styleId="7">
    <w:name w:val="Table Grid"/>
    <w:basedOn w:val="6"/>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8">
    <w:name w:val="Light Shading Accent 3"/>
    <w:basedOn w:val="6"/>
    <w:uiPriority w:val="60"/>
    <w:rPr>
      <w:color w:val="7692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10">
    <w:name w:val="footnote reference"/>
    <w:basedOn w:val="9"/>
    <w:semiHidden/>
    <w:unhideWhenUsed/>
    <w:uiPriority w:val="99"/>
    <w:rPr>
      <w:vertAlign w:val="superscript"/>
    </w:rPr>
  </w:style>
  <w:style w:type="character" w:customStyle="1" w:styleId="11">
    <w:name w:val="页眉 字符"/>
    <w:basedOn w:val="9"/>
    <w:link w:val="4"/>
    <w:uiPriority w:val="99"/>
  </w:style>
  <w:style w:type="character" w:customStyle="1" w:styleId="12">
    <w:name w:val="页脚 字符"/>
    <w:basedOn w:val="9"/>
    <w:link w:val="3"/>
    <w:uiPriority w:val="99"/>
  </w:style>
  <w:style w:type="paragraph" w:styleId="13">
    <w:name w:val="List Paragraph"/>
    <w:basedOn w:val="1"/>
    <w:qFormat/>
    <w:uiPriority w:val="34"/>
    <w:pPr>
      <w:ind w:left="720"/>
      <w:contextualSpacing/>
    </w:pPr>
  </w:style>
  <w:style w:type="character" w:customStyle="1" w:styleId="14">
    <w:name w:val="批注框文本 字符"/>
    <w:basedOn w:val="9"/>
    <w:link w:val="2"/>
    <w:semiHidden/>
    <w:uiPriority w:val="99"/>
    <w:rPr>
      <w:rFonts w:ascii="Tahoma" w:hAnsi="Tahoma" w:cs="Tahoma"/>
      <w:sz w:val="16"/>
      <w:szCs w:val="16"/>
    </w:rPr>
  </w:style>
  <w:style w:type="paragraph" w:styleId="15">
    <w:name w:val="Quote"/>
    <w:basedOn w:val="1"/>
    <w:next w:val="1"/>
    <w:link w:val="16"/>
    <w:qFormat/>
    <w:uiPriority w:val="29"/>
    <w:rPr>
      <w:i/>
      <w:iCs/>
      <w:color w:val="000000" w:themeColor="text1"/>
    </w:rPr>
  </w:style>
  <w:style w:type="character" w:customStyle="1" w:styleId="16">
    <w:name w:val="引用 字符"/>
    <w:basedOn w:val="9"/>
    <w:link w:val="15"/>
    <w:uiPriority w:val="29"/>
    <w:rPr>
      <w:i/>
      <w:iCs/>
      <w:color w:val="000000" w:themeColor="text1"/>
    </w:rPr>
  </w:style>
  <w:style w:type="paragraph" w:customStyle="1" w:styleId="17">
    <w:name w:val="MTDisplayEquation"/>
    <w:basedOn w:val="1"/>
    <w:next w:val="1"/>
    <w:link w:val="18"/>
    <w:uiPriority w:val="0"/>
    <w:pPr>
      <w:tabs>
        <w:tab w:val="center" w:pos="4160"/>
        <w:tab w:val="right" w:pos="8300"/>
      </w:tabs>
    </w:pPr>
  </w:style>
  <w:style w:type="character" w:customStyle="1" w:styleId="18">
    <w:name w:val="MTDisplayEquation Char"/>
    <w:basedOn w:val="9"/>
    <w:link w:val="17"/>
    <w:uiPriority w:val="0"/>
  </w:style>
  <w:style w:type="character" w:customStyle="1" w:styleId="19">
    <w:name w:val="脚注文本 字符"/>
    <w:basedOn w:val="9"/>
    <w:link w:val="5"/>
    <w:semiHidden/>
    <w:uiPriority w:val="99"/>
    <w:rPr>
      <w:sz w:val="18"/>
      <w:szCs w:val="18"/>
    </w:rPr>
  </w:style>
  <w:style w:type="paragraph" w:customStyle="1" w:styleId="20">
    <w:name w:val="大标改"/>
    <w:basedOn w:val="21"/>
    <w:uiPriority w:val="0"/>
    <w:pPr>
      <w:jc w:val="center"/>
    </w:pPr>
  </w:style>
  <w:style w:type="paragraph" w:customStyle="1" w:styleId="21">
    <w:name w:val="[系统文字]"/>
    <w:uiPriority w:val="0"/>
    <w:pPr>
      <w:spacing w:before="0" w:after="0"/>
      <w:ind w:left="0" w:right="0" w:firstLine="0" w:firstLineChars="0"/>
      <w:jc w:val="both"/>
    </w:pPr>
    <w:rPr>
      <w:rFonts w:hAnsi="NEU-BZ" w:asciiTheme="minorHAnsi" w:eastAsiaTheme="minorEastAsia" w:cstheme="minorBidi"/>
      <w:sz w:val="22"/>
      <w:szCs w:val="22"/>
      <w:lang w:val="en-US" w:eastAsia="zh-CN" w:bidi="ar-SA"/>
    </w:rPr>
  </w:style>
  <w:style w:type="paragraph" w:customStyle="1" w:styleId="22">
    <w:name w:val="号"/>
    <w:basedOn w:val="21"/>
    <w:uiPriority w:val="0"/>
    <w:pPr>
      <w:jc w:val="center"/>
    </w:pPr>
  </w:style>
  <w:style w:type="paragraph" w:customStyle="1" w:styleId="23">
    <w:name w:val="小标"/>
    <w:basedOn w:val="21"/>
    <w:uiPriority w:val="0"/>
    <w:pPr>
      <w:jc w:val="center"/>
    </w:pPr>
  </w:style>
  <w:style w:type="paragraph" w:customStyle="1" w:styleId="24">
    <w:name w:val="Normal_wrd15"/>
    <w:basedOn w:val="21"/>
    <w:uiPriority w:val="0"/>
  </w:style>
  <w:style w:type="paragraph" w:customStyle="1" w:styleId="25">
    <w:name w:val="Normal_wrd14"/>
    <w:basedOn w:val="21"/>
    <w:uiPriority w:val="0"/>
  </w:style>
  <w:style w:type="paragraph" w:customStyle="1" w:styleId="26">
    <w:name w:val="Normal_wrd7"/>
    <w:basedOn w:val="21"/>
    <w:uiPriority w:val="0"/>
  </w:style>
  <w:style w:type="paragraph" w:customStyle="1" w:styleId="27">
    <w:name w:val="大标"/>
    <w:basedOn w:val="21"/>
    <w:uiPriority w:val="0"/>
    <w:pPr>
      <w:jc w:val="center"/>
    </w:pPr>
  </w:style>
  <w:style w:type="paragraph" w:customStyle="1" w:styleId="28">
    <w:name w:val="正文4.5"/>
    <w:basedOn w:val="21"/>
    <w:uiPriority w:val="0"/>
    <w:pPr>
      <w:ind w:firstLineChars="200"/>
    </w:pPr>
  </w:style>
  <w:style w:type="paragraph" w:customStyle="1" w:styleId="29">
    <w:name w:val="Normal_wrd16"/>
    <w:basedOn w:val="21"/>
    <w:uiPriority w:val="0"/>
  </w:style>
  <w:style w:type="paragraph" w:customStyle="1" w:styleId="30">
    <w:name w:val="Normal_wrd18"/>
    <w:basedOn w:val="21"/>
    <w:uiPriority w:val="0"/>
  </w:style>
  <w:style w:type="paragraph" w:customStyle="1" w:styleId="31">
    <w:name w:val="Normal_wrd17"/>
    <w:basedOn w:val="21"/>
    <w:uiPriority w:val="0"/>
  </w:style>
  <w:style w:type="paragraph" w:customStyle="1" w:styleId="32">
    <w:name w:val="[基本段落]"/>
    <w:basedOn w:val="21"/>
    <w:uiPriority w:val="0"/>
  </w:style>
  <w:style w:type="character" w:customStyle="1" w:styleId="33">
    <w:name w:val="文字样式82"/>
    <w:basedOn w:val="34"/>
    <w:uiPriority w:val="0"/>
    <w:rPr>
      <w:rFonts w:hint="default" w:ascii="方正书宋_GBK" w:hAnsi="方正书宋_GBK"/>
      <w:sz w:val="24"/>
      <w:szCs w:val="24"/>
    </w:rPr>
  </w:style>
  <w:style w:type="character" w:customStyle="1" w:styleId="34">
    <w:name w:val="[无文字样式]"/>
    <w:uiPriority w:val="0"/>
  </w:style>
  <w:style w:type="character" w:customStyle="1" w:styleId="35">
    <w:name w:val="文字样式83"/>
    <w:basedOn w:val="34"/>
    <w:uiPriority w:val="0"/>
    <w:rPr>
      <w:rFonts w:hint="default" w:ascii="方正书宋_GBK" w:hAnsi="方正书宋_GBK"/>
      <w:sz w:val="24"/>
      <w:szCs w:val="24"/>
    </w:rPr>
  </w:style>
  <w:style w:type="character" w:customStyle="1" w:styleId="36">
    <w:name w:val="文字样式79"/>
    <w:basedOn w:val="34"/>
    <w:uiPriority w:val="0"/>
    <w:rPr>
      <w:rFonts w:hint="default" w:ascii="方正书宋_GBK" w:hAnsi="方正书宋_GBK" w:eastAsia="方正书宋_GBK"/>
      <w:sz w:val="24"/>
      <w:szCs w:val="24"/>
    </w:rPr>
  </w:style>
  <w:style w:type="character" w:customStyle="1" w:styleId="37">
    <w:name w:val="文字样式80"/>
    <w:basedOn w:val="34"/>
    <w:uiPriority w:val="0"/>
    <w:rPr>
      <w:rFonts w:hint="default"/>
      <w:sz w:val="24"/>
      <w:szCs w:val="24"/>
    </w:rPr>
  </w:style>
  <w:style w:type="character" w:customStyle="1" w:styleId="38">
    <w:name w:val="文字样式78"/>
    <w:basedOn w:val="34"/>
    <w:uiPriority w:val="0"/>
    <w:rPr>
      <w:sz w:val="24"/>
      <w:szCs w:val="24"/>
    </w:rPr>
  </w:style>
  <w:style w:type="character" w:customStyle="1" w:styleId="39">
    <w:name w:val="文字样式75"/>
    <w:basedOn w:val="34"/>
    <w:uiPriority w:val="0"/>
    <w:rPr>
      <w:sz w:val="22"/>
      <w:szCs w:val="22"/>
    </w:rPr>
  </w:style>
  <w:style w:type="character" w:customStyle="1" w:styleId="40">
    <w:name w:val="文字样式81"/>
    <w:basedOn w:val="34"/>
    <w:uiPriority w:val="0"/>
    <w:rPr>
      <w:color w:val="000000"/>
      <w:spacing w:val="-4"/>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4.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4.xml><?xml version="1.0" encoding="utf-8"?>
<dp:LabelRoot xmlns:dp="http://www.founder.com/2010/digitalPublish/labelTree" tagType="contentCtrl">
</dp:LabelRoo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788689-C533-4448-945B-12F4B397B557}">
  <ds:schemaRefs/>
</ds:datastoreItem>
</file>

<file path=customXml/itemProps3.xml><?xml version="1.0" encoding="utf-8"?>
<ds:datastoreItem xmlns:ds="http://schemas.openxmlformats.org/officeDocument/2006/customXml" ds:itemID="{A6139CF6-5931-4AE5-A712-2A5998365C5A}">
  <ds:schemaRefs/>
</ds:datastoreItem>
</file>

<file path=customXml/itemProps4.xml><?xml version="1.0" encoding="utf-8"?>
<ds:datastoreItem xmlns:ds="http://schemas.openxmlformats.org/officeDocument/2006/customXml" ds:itemID="{4B3307D3-B2C9-4FF8-8CBB-8B9570B3AA04}">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1</Pages>
  <Words>1</Words>
  <Characters>8</Characters>
  <Lines>1</Lines>
  <Paragraphs>1</Paragraphs>
  <TotalTime>24</TotalTime>
  <ScaleCrop>false</ScaleCrop>
  <LinksUpToDate>false</LinksUpToDate>
  <CharactersWithSpaces>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2009-03-05T00:31:00Z</dcterms:created>
  <dc:creator>英子</dc:creator>
  <cp:lastModifiedBy>英子</cp:lastModifiedBy>
  <dcterms:modified xsi:type="dcterms:W3CDTF">2021-08-24T08:11:35Z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9E6D5B43D32948E0B8698E963877C9FF</vt:lpwstr>
  </property>
</Properties>
</file>