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2E2C0">
      <w:pPr>
        <w:spacing w:line="587" w:lineRule="exact"/>
        <w:rPr>
          <w:rFonts w:hint="eastAsia" w:ascii="黑体" w:hAnsi="宋体" w:eastAsia="黑体"/>
        </w:rPr>
      </w:pPr>
      <w:r>
        <w:rPr>
          <w:rFonts w:hint="eastAsia" w:ascii="黑体" w:hAnsi="宋体" w:eastAsia="黑体"/>
        </w:rPr>
        <w:t>附表2：</w:t>
      </w:r>
    </w:p>
    <w:p w14:paraId="54EBE81D">
      <w:pPr>
        <w:spacing w:line="587" w:lineRule="exact"/>
        <w:rPr>
          <w:rFonts w:hint="eastAsia" w:ascii="文鼎小标宋简" w:eastAsia="文鼎小标宋简"/>
          <w:sz w:val="44"/>
          <w:szCs w:val="44"/>
        </w:rPr>
      </w:pPr>
    </w:p>
    <w:p w14:paraId="653F9435">
      <w:pPr>
        <w:spacing w:line="587" w:lineRule="exact"/>
        <w:jc w:val="center"/>
        <w:rPr>
          <w:rFonts w:hint="eastAsia" w:ascii="文鼎小标宋简" w:eastAsia="文鼎小标宋简"/>
          <w:sz w:val="44"/>
          <w:szCs w:val="44"/>
        </w:rPr>
      </w:pPr>
      <w:r>
        <w:rPr>
          <w:rFonts w:hint="eastAsia" w:ascii="文鼎小标宋简" w:eastAsia="文鼎小标宋简"/>
          <w:sz w:val="44"/>
          <w:szCs w:val="44"/>
        </w:rPr>
        <w:t>市政府教育实践活动第一批问题中期整改任务分解表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5299"/>
        <w:gridCol w:w="1500"/>
        <w:gridCol w:w="1572"/>
        <w:gridCol w:w="1741"/>
        <w:gridCol w:w="2069"/>
      </w:tblGrid>
      <w:tr w14:paraId="03E8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948" w:type="dxa"/>
            <w:noWrap w:val="0"/>
            <w:vAlign w:val="center"/>
          </w:tcPr>
          <w:p w14:paraId="79824429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299" w:type="dxa"/>
            <w:noWrap w:val="0"/>
            <w:vAlign w:val="center"/>
          </w:tcPr>
          <w:p w14:paraId="7E5BFF36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500" w:type="dxa"/>
            <w:noWrap w:val="0"/>
            <w:vAlign w:val="center"/>
          </w:tcPr>
          <w:p w14:paraId="7E93FB7F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572" w:type="dxa"/>
            <w:noWrap w:val="0"/>
            <w:vAlign w:val="center"/>
          </w:tcPr>
          <w:p w14:paraId="433A73BF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741" w:type="dxa"/>
            <w:noWrap w:val="0"/>
            <w:vAlign w:val="center"/>
          </w:tcPr>
          <w:p w14:paraId="08EC4573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noWrap w:val="0"/>
            <w:vAlign w:val="center"/>
          </w:tcPr>
          <w:p w14:paraId="1FEB7465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525D4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948" w:type="dxa"/>
            <w:noWrap w:val="0"/>
            <w:vAlign w:val="center"/>
          </w:tcPr>
          <w:p w14:paraId="623436CA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</w:t>
            </w:r>
          </w:p>
        </w:tc>
        <w:tc>
          <w:tcPr>
            <w:tcW w:w="5299" w:type="dxa"/>
            <w:noWrap w:val="0"/>
            <w:vAlign w:val="center"/>
          </w:tcPr>
          <w:p w14:paraId="5AACFD54">
            <w:pPr>
              <w:spacing w:line="3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对政绩观认识理解不深不透，存在不敢担当、不愿负责的现</w:t>
            </w: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象，减少“形象工程”、“政</w:t>
            </w:r>
            <w:r>
              <w:rPr>
                <w:rFonts w:hint="eastAsia" w:ascii="仿宋_GB2312" w:hAnsi="仿宋"/>
                <w:sz w:val="24"/>
                <w:szCs w:val="24"/>
              </w:rPr>
              <w:t>绩工程”。</w:t>
            </w:r>
          </w:p>
        </w:tc>
        <w:tc>
          <w:tcPr>
            <w:tcW w:w="1500" w:type="dxa"/>
            <w:noWrap w:val="0"/>
            <w:vAlign w:val="center"/>
          </w:tcPr>
          <w:p w14:paraId="152D9064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52127C88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358F2778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7416FDE8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41" w:type="dxa"/>
            <w:noWrap w:val="0"/>
            <w:vAlign w:val="center"/>
          </w:tcPr>
          <w:p w14:paraId="162B35F0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5556D759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0FC9D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4" w:hRule="atLeast"/>
        </w:trPr>
        <w:tc>
          <w:tcPr>
            <w:tcW w:w="948" w:type="dxa"/>
            <w:noWrap w:val="0"/>
            <w:vAlign w:val="center"/>
          </w:tcPr>
          <w:p w14:paraId="36B5DC56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</w:t>
            </w:r>
          </w:p>
        </w:tc>
        <w:tc>
          <w:tcPr>
            <w:tcW w:w="5299" w:type="dxa"/>
            <w:noWrap w:val="0"/>
            <w:vAlign w:val="center"/>
          </w:tcPr>
          <w:p w14:paraId="487F26E3">
            <w:pPr>
              <w:spacing w:line="340" w:lineRule="exact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对市上有些部门搞形式主义的做法加以约束，比如要求基层单位必须设立对口机构，造成一个基层单位光牌子就有数十块，上级来检查时要从上到下、从里到外都要挂，前脚走、后脚取，疲于应付。</w:t>
            </w:r>
          </w:p>
        </w:tc>
        <w:tc>
          <w:tcPr>
            <w:tcW w:w="1500" w:type="dxa"/>
            <w:noWrap w:val="0"/>
            <w:vAlign w:val="center"/>
          </w:tcPr>
          <w:p w14:paraId="036FA812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1CF09A19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60233307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41" w:type="dxa"/>
            <w:noWrap w:val="0"/>
            <w:vAlign w:val="center"/>
          </w:tcPr>
          <w:p w14:paraId="62028D96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市编办</w:t>
            </w:r>
          </w:p>
        </w:tc>
        <w:tc>
          <w:tcPr>
            <w:tcW w:w="2069" w:type="dxa"/>
            <w:noWrap w:val="0"/>
            <w:vAlign w:val="center"/>
          </w:tcPr>
          <w:p w14:paraId="686D30C7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01EE6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948" w:type="dxa"/>
            <w:noWrap w:val="0"/>
            <w:vAlign w:val="center"/>
          </w:tcPr>
          <w:p w14:paraId="490F29DD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3</w:t>
            </w:r>
          </w:p>
        </w:tc>
        <w:tc>
          <w:tcPr>
            <w:tcW w:w="5299" w:type="dxa"/>
            <w:noWrap w:val="0"/>
            <w:vAlign w:val="center"/>
          </w:tcPr>
          <w:p w14:paraId="6785FB82">
            <w:pPr>
              <w:spacing w:line="340" w:lineRule="exact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加大对权利相对集中部门“一把手”的监管力度，切实纠正不给好处不办事、给了好处乱办事的现象。</w:t>
            </w:r>
          </w:p>
        </w:tc>
        <w:tc>
          <w:tcPr>
            <w:tcW w:w="1500" w:type="dxa"/>
            <w:noWrap w:val="0"/>
            <w:vAlign w:val="center"/>
          </w:tcPr>
          <w:p w14:paraId="127B5AEC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354EFD3C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559FF741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  <w:p w14:paraId="25202B79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41" w:type="dxa"/>
            <w:noWrap w:val="0"/>
            <w:vAlign w:val="center"/>
          </w:tcPr>
          <w:p w14:paraId="6DB7B87E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市监察局</w:t>
            </w:r>
          </w:p>
        </w:tc>
        <w:tc>
          <w:tcPr>
            <w:tcW w:w="2069" w:type="dxa"/>
            <w:noWrap w:val="0"/>
            <w:vAlign w:val="center"/>
          </w:tcPr>
          <w:p w14:paraId="3402FC71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0C4FA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48" w:type="dxa"/>
            <w:noWrap w:val="0"/>
            <w:vAlign w:val="center"/>
          </w:tcPr>
          <w:p w14:paraId="46A8E1B3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4</w:t>
            </w:r>
          </w:p>
        </w:tc>
        <w:tc>
          <w:tcPr>
            <w:tcW w:w="5299" w:type="dxa"/>
            <w:noWrap w:val="0"/>
            <w:vAlign w:val="center"/>
          </w:tcPr>
          <w:p w14:paraId="44DF7361">
            <w:pPr>
              <w:spacing w:line="3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在制定民生方面的政策时多听群众意见，比如多采用听证的办法更好。</w:t>
            </w:r>
          </w:p>
        </w:tc>
        <w:tc>
          <w:tcPr>
            <w:tcW w:w="1500" w:type="dxa"/>
            <w:noWrap w:val="0"/>
            <w:vAlign w:val="center"/>
          </w:tcPr>
          <w:p w14:paraId="7A66A81C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13565347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0745E6F8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黄泽元</w:t>
            </w:r>
          </w:p>
        </w:tc>
        <w:tc>
          <w:tcPr>
            <w:tcW w:w="1741" w:type="dxa"/>
            <w:noWrap w:val="0"/>
            <w:vAlign w:val="center"/>
          </w:tcPr>
          <w:p w14:paraId="715D1A22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市政府办</w:t>
            </w:r>
          </w:p>
        </w:tc>
        <w:tc>
          <w:tcPr>
            <w:tcW w:w="2069" w:type="dxa"/>
            <w:noWrap w:val="0"/>
            <w:vAlign w:val="center"/>
          </w:tcPr>
          <w:p w14:paraId="306BE29C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5F40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</w:trPr>
        <w:tc>
          <w:tcPr>
            <w:tcW w:w="948" w:type="dxa"/>
            <w:noWrap w:val="0"/>
            <w:vAlign w:val="center"/>
          </w:tcPr>
          <w:p w14:paraId="6A031920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5</w:t>
            </w:r>
          </w:p>
        </w:tc>
        <w:tc>
          <w:tcPr>
            <w:tcW w:w="5299" w:type="dxa"/>
            <w:noWrap w:val="0"/>
            <w:vAlign w:val="center"/>
          </w:tcPr>
          <w:p w14:paraId="15CB7109">
            <w:pPr>
              <w:spacing w:line="3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最大限度减少审批事项和审批程序，提高机关效能和服务质量。</w:t>
            </w:r>
          </w:p>
        </w:tc>
        <w:tc>
          <w:tcPr>
            <w:tcW w:w="1500" w:type="dxa"/>
            <w:noWrap w:val="0"/>
            <w:vAlign w:val="center"/>
          </w:tcPr>
          <w:p w14:paraId="5146C556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22468AF2">
            <w:pPr>
              <w:spacing w:line="340" w:lineRule="exact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5564108E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41" w:type="dxa"/>
            <w:noWrap w:val="0"/>
            <w:vAlign w:val="center"/>
          </w:tcPr>
          <w:p w14:paraId="19806668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市编办</w:t>
            </w:r>
          </w:p>
        </w:tc>
        <w:tc>
          <w:tcPr>
            <w:tcW w:w="2069" w:type="dxa"/>
            <w:noWrap w:val="0"/>
            <w:vAlign w:val="center"/>
          </w:tcPr>
          <w:p w14:paraId="6A4F3471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6592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48" w:type="dxa"/>
            <w:noWrap w:val="0"/>
            <w:vAlign w:val="center"/>
          </w:tcPr>
          <w:p w14:paraId="52E8C73F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6</w:t>
            </w:r>
          </w:p>
        </w:tc>
        <w:tc>
          <w:tcPr>
            <w:tcW w:w="5299" w:type="dxa"/>
            <w:noWrap w:val="0"/>
            <w:vAlign w:val="center"/>
          </w:tcPr>
          <w:p w14:paraId="72B388A1">
            <w:pPr>
              <w:spacing w:line="3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规范行政执法部门行政行为，重点在疏导，次要是处罚。我市也存在招进来的客商一旦落地，执法部门一拥而上、杀鸡取卵的现象。</w:t>
            </w:r>
          </w:p>
        </w:tc>
        <w:tc>
          <w:tcPr>
            <w:tcW w:w="1500" w:type="dxa"/>
            <w:noWrap w:val="0"/>
            <w:vAlign w:val="center"/>
          </w:tcPr>
          <w:p w14:paraId="511908F8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038154C7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2773D521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41" w:type="dxa"/>
            <w:noWrap w:val="0"/>
            <w:vAlign w:val="center"/>
          </w:tcPr>
          <w:p w14:paraId="4238CCD5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市招商局</w:t>
            </w:r>
          </w:p>
        </w:tc>
        <w:tc>
          <w:tcPr>
            <w:tcW w:w="2069" w:type="dxa"/>
            <w:noWrap w:val="0"/>
            <w:vAlign w:val="center"/>
          </w:tcPr>
          <w:p w14:paraId="2D247E65">
            <w:pPr>
              <w:spacing w:line="3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市政府各部门</w:t>
            </w:r>
          </w:p>
        </w:tc>
      </w:tr>
      <w:tr w14:paraId="0197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3297C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8FC5A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F391F1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52FEA4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72F84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F97EF0">
            <w:pPr>
              <w:spacing w:line="44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6CC8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948" w:type="dxa"/>
            <w:noWrap w:val="0"/>
            <w:vAlign w:val="center"/>
          </w:tcPr>
          <w:p w14:paraId="6ED132D0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7</w:t>
            </w:r>
          </w:p>
        </w:tc>
        <w:tc>
          <w:tcPr>
            <w:tcW w:w="5299" w:type="dxa"/>
            <w:noWrap w:val="0"/>
            <w:vAlign w:val="center"/>
          </w:tcPr>
          <w:p w14:paraId="4E952FFB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 xml:space="preserve">在安全生产工作中存在“一人得病、众人吃药”的现象，如一个煤矿出事所有煤矿停产。 </w:t>
            </w:r>
          </w:p>
        </w:tc>
        <w:tc>
          <w:tcPr>
            <w:tcW w:w="1500" w:type="dxa"/>
            <w:noWrap w:val="0"/>
            <w:vAlign w:val="center"/>
          </w:tcPr>
          <w:p w14:paraId="38AB2EEE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7EFD9E92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3CD84E37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成广平</w:t>
            </w:r>
          </w:p>
        </w:tc>
        <w:tc>
          <w:tcPr>
            <w:tcW w:w="1741" w:type="dxa"/>
            <w:noWrap w:val="0"/>
            <w:vAlign w:val="center"/>
          </w:tcPr>
          <w:p w14:paraId="5D4F1CB9">
            <w:pPr>
              <w:spacing w:line="440" w:lineRule="exact"/>
              <w:ind w:left="2" w:leftChars="-1" w:hanging="4" w:hangingChars="2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市安监局</w:t>
            </w:r>
          </w:p>
        </w:tc>
        <w:tc>
          <w:tcPr>
            <w:tcW w:w="2069" w:type="dxa"/>
            <w:noWrap w:val="0"/>
            <w:vAlign w:val="center"/>
          </w:tcPr>
          <w:p w14:paraId="57A1B8B7">
            <w:pPr>
              <w:spacing w:line="440" w:lineRule="exact"/>
              <w:ind w:left="2" w:leftChars="-1" w:hanging="4" w:hangingChars="2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市安委会</w:t>
            </w:r>
          </w:p>
          <w:p w14:paraId="0E9ACA04">
            <w:pPr>
              <w:spacing w:line="440" w:lineRule="exact"/>
              <w:ind w:left="2" w:leftChars="-1" w:hanging="4" w:hangingChars="2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成员单位</w:t>
            </w:r>
          </w:p>
        </w:tc>
      </w:tr>
      <w:tr w14:paraId="4A51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48" w:type="dxa"/>
            <w:noWrap w:val="0"/>
            <w:vAlign w:val="center"/>
          </w:tcPr>
          <w:p w14:paraId="2EAE034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8</w:t>
            </w:r>
          </w:p>
        </w:tc>
        <w:tc>
          <w:tcPr>
            <w:tcW w:w="5299" w:type="dxa"/>
            <w:noWrap w:val="0"/>
            <w:vAlign w:val="center"/>
          </w:tcPr>
          <w:p w14:paraId="534B5183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考核工作存在唯数字论现象。</w:t>
            </w:r>
          </w:p>
        </w:tc>
        <w:tc>
          <w:tcPr>
            <w:tcW w:w="1500" w:type="dxa"/>
            <w:noWrap w:val="0"/>
            <w:vAlign w:val="center"/>
          </w:tcPr>
          <w:p w14:paraId="0EBAAEEE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5E771FD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7D0373E4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</w:tc>
        <w:tc>
          <w:tcPr>
            <w:tcW w:w="1741" w:type="dxa"/>
            <w:noWrap w:val="0"/>
            <w:vAlign w:val="center"/>
          </w:tcPr>
          <w:p w14:paraId="7EA1F0E6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市统计局</w:t>
            </w:r>
          </w:p>
        </w:tc>
        <w:tc>
          <w:tcPr>
            <w:tcW w:w="2069" w:type="dxa"/>
            <w:noWrap w:val="0"/>
            <w:vAlign w:val="center"/>
          </w:tcPr>
          <w:p w14:paraId="526CCEF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市政府督查室</w:t>
            </w:r>
          </w:p>
          <w:p w14:paraId="6581780B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市考核办</w:t>
            </w:r>
          </w:p>
        </w:tc>
      </w:tr>
      <w:tr w14:paraId="328E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48" w:type="dxa"/>
            <w:noWrap w:val="0"/>
            <w:vAlign w:val="center"/>
          </w:tcPr>
          <w:p w14:paraId="7266B170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9</w:t>
            </w:r>
          </w:p>
        </w:tc>
        <w:tc>
          <w:tcPr>
            <w:tcW w:w="5299" w:type="dxa"/>
            <w:noWrap w:val="0"/>
            <w:vAlign w:val="center"/>
          </w:tcPr>
          <w:p w14:paraId="179A20E5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新城区建设、生态建设、旅游业发展要量财力逐步推行，防止搞强迫命令，举债建设。</w:t>
            </w:r>
          </w:p>
        </w:tc>
        <w:tc>
          <w:tcPr>
            <w:tcW w:w="1500" w:type="dxa"/>
            <w:noWrap w:val="0"/>
            <w:vAlign w:val="center"/>
          </w:tcPr>
          <w:p w14:paraId="3B7400A0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414EE89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5C77352B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  <w:p w14:paraId="61B3690F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noWrap w:val="0"/>
            <w:vAlign w:val="center"/>
          </w:tcPr>
          <w:p w14:paraId="26C4573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市发改委</w:t>
            </w:r>
          </w:p>
          <w:p w14:paraId="76E63F3C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市财政局</w:t>
            </w:r>
          </w:p>
        </w:tc>
        <w:tc>
          <w:tcPr>
            <w:tcW w:w="2069" w:type="dxa"/>
            <w:noWrap w:val="0"/>
            <w:vAlign w:val="center"/>
          </w:tcPr>
          <w:p w14:paraId="0BFE789C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市政府相关部门</w:t>
            </w:r>
          </w:p>
        </w:tc>
      </w:tr>
      <w:tr w14:paraId="0BC3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948" w:type="dxa"/>
            <w:noWrap w:val="0"/>
            <w:vAlign w:val="center"/>
          </w:tcPr>
          <w:p w14:paraId="404D5C60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10</w:t>
            </w:r>
          </w:p>
        </w:tc>
        <w:tc>
          <w:tcPr>
            <w:tcW w:w="5299" w:type="dxa"/>
            <w:noWrap w:val="0"/>
            <w:vAlign w:val="center"/>
          </w:tcPr>
          <w:p w14:paraId="6DB3E888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在重大项目、招商引资工作中存在强迫命令。</w:t>
            </w:r>
          </w:p>
        </w:tc>
        <w:tc>
          <w:tcPr>
            <w:tcW w:w="1500" w:type="dxa"/>
            <w:noWrap w:val="0"/>
            <w:vAlign w:val="center"/>
          </w:tcPr>
          <w:p w14:paraId="684AACF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27F453F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696321A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  <w:p w14:paraId="48F84607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noWrap w:val="0"/>
            <w:vAlign w:val="center"/>
          </w:tcPr>
          <w:p w14:paraId="267963A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市发改委</w:t>
            </w:r>
          </w:p>
          <w:p w14:paraId="2B0561BA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市招商局</w:t>
            </w:r>
          </w:p>
        </w:tc>
        <w:tc>
          <w:tcPr>
            <w:tcW w:w="2069" w:type="dxa"/>
            <w:noWrap w:val="0"/>
            <w:vAlign w:val="center"/>
          </w:tcPr>
          <w:p w14:paraId="49957D17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市政府相关部门</w:t>
            </w:r>
          </w:p>
        </w:tc>
      </w:tr>
      <w:tr w14:paraId="36BD9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6" w:hRule="atLeast"/>
        </w:trPr>
        <w:tc>
          <w:tcPr>
            <w:tcW w:w="948" w:type="dxa"/>
            <w:noWrap w:val="0"/>
            <w:vAlign w:val="center"/>
          </w:tcPr>
          <w:p w14:paraId="6C53B43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11</w:t>
            </w:r>
          </w:p>
        </w:tc>
        <w:tc>
          <w:tcPr>
            <w:tcW w:w="5299" w:type="dxa"/>
            <w:noWrap w:val="0"/>
            <w:vAlign w:val="center"/>
          </w:tcPr>
          <w:p w14:paraId="5D657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除政策明文规定的离休老干部外，其他副地级以上退休、在职领导干部在医疗保险上与其他人同等对待，取消全额报销的“土政策”。</w:t>
            </w:r>
          </w:p>
        </w:tc>
        <w:tc>
          <w:tcPr>
            <w:tcW w:w="1500" w:type="dxa"/>
            <w:noWrap w:val="0"/>
            <w:vAlign w:val="center"/>
          </w:tcPr>
          <w:p w14:paraId="2D8EB3D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41B5074A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201CD9A0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  <w:p w14:paraId="3FBD2C08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王方太</w:t>
            </w:r>
          </w:p>
        </w:tc>
        <w:tc>
          <w:tcPr>
            <w:tcW w:w="1741" w:type="dxa"/>
            <w:noWrap w:val="0"/>
            <w:vAlign w:val="center"/>
          </w:tcPr>
          <w:p w14:paraId="014AC3EC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市人社局</w:t>
            </w:r>
          </w:p>
          <w:p w14:paraId="41A0736C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市卫生局</w:t>
            </w:r>
          </w:p>
        </w:tc>
        <w:tc>
          <w:tcPr>
            <w:tcW w:w="2069" w:type="dxa"/>
            <w:noWrap w:val="0"/>
            <w:vAlign w:val="center"/>
          </w:tcPr>
          <w:p w14:paraId="56D0D7AE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市财政局</w:t>
            </w:r>
          </w:p>
        </w:tc>
      </w:tr>
      <w:tr w14:paraId="07EBB5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</w:trPr>
        <w:tc>
          <w:tcPr>
            <w:tcW w:w="948" w:type="dxa"/>
            <w:noWrap w:val="0"/>
            <w:vAlign w:val="center"/>
          </w:tcPr>
          <w:p w14:paraId="16BC9EB1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</w:t>
            </w:r>
          </w:p>
        </w:tc>
        <w:tc>
          <w:tcPr>
            <w:tcW w:w="5299" w:type="dxa"/>
            <w:noWrap w:val="0"/>
            <w:vAlign w:val="center"/>
          </w:tcPr>
          <w:p w14:paraId="1294E6E7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提高职工医疗费报销比例。规范医疗费报销人员范围，县（区）四大班子领导特殊报销应纠正。医疗办应从市医院分离另设，避免人情报销，割断医院与患者报销中的利益关系。</w:t>
            </w:r>
          </w:p>
        </w:tc>
        <w:tc>
          <w:tcPr>
            <w:tcW w:w="1500" w:type="dxa"/>
            <w:noWrap w:val="0"/>
            <w:vAlign w:val="center"/>
          </w:tcPr>
          <w:p w14:paraId="0EADDB4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7C390696">
            <w:pPr>
              <w:spacing w:line="440" w:lineRule="exact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64A389BF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陈  义</w:t>
            </w:r>
          </w:p>
          <w:p w14:paraId="225CDD5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</w:tc>
        <w:tc>
          <w:tcPr>
            <w:tcW w:w="1741" w:type="dxa"/>
            <w:noWrap w:val="0"/>
            <w:vAlign w:val="center"/>
          </w:tcPr>
          <w:p w14:paraId="6C38FA0F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市人社局</w:t>
            </w:r>
          </w:p>
        </w:tc>
        <w:tc>
          <w:tcPr>
            <w:tcW w:w="2069" w:type="dxa"/>
            <w:noWrap w:val="0"/>
            <w:vAlign w:val="center"/>
          </w:tcPr>
          <w:p w14:paraId="194751F1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市财政局</w:t>
            </w:r>
          </w:p>
          <w:p w14:paraId="5D812C2A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市卫生局</w:t>
            </w:r>
          </w:p>
        </w:tc>
      </w:tr>
      <w:tr w14:paraId="0D779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948" w:type="dxa"/>
            <w:noWrap w:val="0"/>
            <w:vAlign w:val="center"/>
          </w:tcPr>
          <w:p w14:paraId="49D88A8B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13</w:t>
            </w:r>
          </w:p>
        </w:tc>
        <w:tc>
          <w:tcPr>
            <w:tcW w:w="5299" w:type="dxa"/>
            <w:noWrap w:val="0"/>
            <w:vAlign w:val="center"/>
          </w:tcPr>
          <w:p w14:paraId="63621E37">
            <w:pPr>
              <w:spacing w:line="44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要对城市基础设施建设进行统一规划，不要老是搞“拉链工程”，把城市弄得交通不畅、尘土飞扬，破坏张掖城市形象。</w:t>
            </w:r>
          </w:p>
        </w:tc>
        <w:tc>
          <w:tcPr>
            <w:tcW w:w="1500" w:type="dxa"/>
            <w:noWrap w:val="0"/>
            <w:vAlign w:val="center"/>
          </w:tcPr>
          <w:p w14:paraId="5FD3313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174BADB2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7F638F3D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noWrap w:val="0"/>
            <w:vAlign w:val="center"/>
          </w:tcPr>
          <w:p w14:paraId="1F4304EE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市建设局</w:t>
            </w:r>
          </w:p>
        </w:tc>
        <w:tc>
          <w:tcPr>
            <w:tcW w:w="2069" w:type="dxa"/>
            <w:noWrap w:val="0"/>
            <w:vAlign w:val="center"/>
          </w:tcPr>
          <w:p w14:paraId="6DE84B43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市规划局</w:t>
            </w:r>
          </w:p>
          <w:p w14:paraId="0BB78CE9">
            <w:pPr>
              <w:spacing w:line="44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市城管执法局</w:t>
            </w:r>
          </w:p>
        </w:tc>
      </w:tr>
      <w:tr w14:paraId="40776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41811A">
            <w:pPr>
              <w:spacing w:line="587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7FD0D">
            <w:pPr>
              <w:spacing w:line="587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B7861">
            <w:pPr>
              <w:spacing w:line="587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141EC">
            <w:pPr>
              <w:spacing w:line="587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A7D83">
            <w:pPr>
              <w:spacing w:line="587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5EC96">
            <w:pPr>
              <w:spacing w:line="587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6D8E0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201B3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14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5FE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加快天然气入户工程和城市集中供热工程建设进度，让更多的群众受益。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CEBF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2014年</w:t>
            </w:r>
          </w:p>
          <w:p w14:paraId="0AEB766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9月底前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379F6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B0A7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市建设局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CC564F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市城投公司</w:t>
            </w:r>
          </w:p>
        </w:tc>
      </w:tr>
      <w:tr w14:paraId="2D2B1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5103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15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077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去年下半年以来对农村住宅小区建设“一刀切”，不予办理土地审批手续的做法不符合实际。应该对新建的坚决制止，引导老百姓原宅基地翻新改建或进城聚集，对已经开工建设的要视具体情况，特别是大多数群众已上楼，急需要修建一两栋楼安置剩余想入住小区农户的村，还是要供给土地，圆满完成新农村建设任务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E5343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07B2B393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402A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王向机</w:t>
            </w:r>
          </w:p>
          <w:p w14:paraId="149A95FA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EF82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市小康办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8DD1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市国土资源局</w:t>
            </w:r>
          </w:p>
          <w:p w14:paraId="3037205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市建设局</w:t>
            </w:r>
          </w:p>
          <w:p w14:paraId="0D694A4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市规划局</w:t>
            </w:r>
          </w:p>
        </w:tc>
      </w:tr>
      <w:tr w14:paraId="01547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A1DB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16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896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加大对地下钱庄、私人投资公司等民间借贷行为的监管力度，严肃查处高利贷行为。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62DE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7B3AF15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C15D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  <w:p w14:paraId="167AA17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张文池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390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市公安局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8308D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市政府金融办</w:t>
            </w:r>
          </w:p>
        </w:tc>
      </w:tr>
      <w:tr w14:paraId="0936F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69E4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17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929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对社会中介组织承担的职能要进行规范，对乱收费行为要加强监管。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E865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317D9267">
            <w:pPr>
              <w:spacing w:line="360" w:lineRule="exact"/>
              <w:jc w:val="center"/>
              <w:rPr>
                <w:rFonts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D1F43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7A2BF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市民政局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9385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市财政局</w:t>
            </w:r>
          </w:p>
          <w:p w14:paraId="42E567A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市纠风办</w:t>
            </w:r>
          </w:p>
        </w:tc>
      </w:tr>
      <w:tr w14:paraId="1E41D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1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3FCB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18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08E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after="0" w:afterLines="0" w:line="340" w:lineRule="exact"/>
              <w:ind w:left="0" w:leftChars="0" w:right="0" w:rightChars="0" w:firstLine="0" w:firstLineChars="0"/>
              <w:textAlignment w:val="auto"/>
              <w:outlineLvl w:val="9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制定严格的廉租房、经适房分配管理办法及程序，清理纠正一些领导及个人既享受房改房又享受经适房、廉租房的行为。对违规享受的坚决收回，并追究经办审核单位及个人的责任。</w:t>
            </w:r>
            <w:r>
              <w:rPr>
                <w:rFonts w:ascii="仿宋_GB2312" w:hAnsi="仿宋"/>
                <w:sz w:val="24"/>
                <w:szCs w:val="24"/>
              </w:rPr>
              <w:t>放开行政事业单位职工不能购买经济适用住房</w:t>
            </w:r>
            <w:r>
              <w:rPr>
                <w:rFonts w:hint="eastAsia" w:ascii="仿宋_GB2312" w:hAnsi="仿宋"/>
                <w:sz w:val="24"/>
                <w:szCs w:val="24"/>
              </w:rPr>
              <w:t>的</w:t>
            </w:r>
            <w:r>
              <w:rPr>
                <w:rFonts w:ascii="仿宋_GB2312" w:hAnsi="仿宋"/>
                <w:sz w:val="24"/>
                <w:szCs w:val="24"/>
              </w:rPr>
              <w:t>限制</w:t>
            </w:r>
            <w:r>
              <w:rPr>
                <w:rFonts w:hint="eastAsia" w:ascii="仿宋_GB2312" w:hAnsi="仿宋"/>
                <w:sz w:val="24"/>
                <w:szCs w:val="24"/>
              </w:rPr>
              <w:t>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D9C60A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7F83EDAD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E3BD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094D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市房管局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3D3A3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市城投公司</w:t>
            </w:r>
          </w:p>
        </w:tc>
      </w:tr>
      <w:tr w14:paraId="66E31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1B436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序号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56759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  改  项  目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7581C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整改时限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433F7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牵头领导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763C5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牵头单位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DAE9CC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配合单位</w:t>
            </w:r>
          </w:p>
        </w:tc>
      </w:tr>
      <w:tr w14:paraId="2B639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7" w:hRule="atLeast"/>
        </w:trPr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832425">
            <w:pPr>
              <w:spacing w:line="360" w:lineRule="exact"/>
              <w:jc w:val="center"/>
              <w:rPr>
                <w:rFonts w:hint="eastAsia" w:ascii="黑体" w:eastAsia="黑体"/>
                <w:sz w:val="30"/>
                <w:szCs w:val="30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19</w:t>
            </w:r>
          </w:p>
        </w:tc>
        <w:tc>
          <w:tcPr>
            <w:tcW w:w="52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B1F7E5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到市医院看病往往需要排队等候好几个小时，但医生检查却只有几分钟时间，要在提高市医院的医疗服务质量方面多下功夫。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A4DE7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1A55937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03FF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王方太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529D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市卫生局</w:t>
            </w:r>
          </w:p>
        </w:tc>
        <w:tc>
          <w:tcPr>
            <w:tcW w:w="20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CA62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市医院</w:t>
            </w:r>
          </w:p>
        </w:tc>
      </w:tr>
      <w:tr w14:paraId="72E4D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48" w:type="dxa"/>
            <w:noWrap w:val="0"/>
            <w:vAlign w:val="center"/>
          </w:tcPr>
          <w:p w14:paraId="3D7390E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20</w:t>
            </w:r>
          </w:p>
        </w:tc>
        <w:tc>
          <w:tcPr>
            <w:tcW w:w="5299" w:type="dxa"/>
            <w:noWrap w:val="0"/>
            <w:vAlign w:val="center"/>
          </w:tcPr>
          <w:p w14:paraId="54BA5C8B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规范城区个体医疗诊所的诊疗活动，制定相应的布局规划，严格规定其诊疗范围，并对经营场地及人员情况严格审核，坚决取缔非法行医。</w:t>
            </w:r>
          </w:p>
        </w:tc>
        <w:tc>
          <w:tcPr>
            <w:tcW w:w="1500" w:type="dxa"/>
            <w:noWrap w:val="0"/>
            <w:vAlign w:val="center"/>
          </w:tcPr>
          <w:p w14:paraId="6104318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3CFE628D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19D81B0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王方太</w:t>
            </w:r>
          </w:p>
        </w:tc>
        <w:tc>
          <w:tcPr>
            <w:tcW w:w="1741" w:type="dxa"/>
            <w:noWrap w:val="0"/>
            <w:vAlign w:val="center"/>
          </w:tcPr>
          <w:p w14:paraId="2E3867B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市卫生局</w:t>
            </w:r>
          </w:p>
        </w:tc>
        <w:tc>
          <w:tcPr>
            <w:tcW w:w="2069" w:type="dxa"/>
            <w:noWrap w:val="0"/>
            <w:vAlign w:val="center"/>
          </w:tcPr>
          <w:p w14:paraId="080329BF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 w14:paraId="6FE75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" w:hRule="atLeast"/>
        </w:trPr>
        <w:tc>
          <w:tcPr>
            <w:tcW w:w="948" w:type="dxa"/>
            <w:noWrap w:val="0"/>
            <w:vAlign w:val="center"/>
          </w:tcPr>
          <w:p w14:paraId="3893C41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21</w:t>
            </w:r>
          </w:p>
        </w:tc>
        <w:tc>
          <w:tcPr>
            <w:tcW w:w="5299" w:type="dxa"/>
            <w:noWrap w:val="0"/>
            <w:vAlign w:val="center"/>
          </w:tcPr>
          <w:p w14:paraId="65D0A2B3">
            <w:pPr>
              <w:spacing w:line="360" w:lineRule="exact"/>
              <w:rPr>
                <w:rFonts w:hint="eastAsia" w:ascii="仿宋_GB2312" w:hAnsi="仿宋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"/>
                <w:spacing w:val="-10"/>
                <w:sz w:val="24"/>
                <w:szCs w:val="24"/>
              </w:rPr>
              <w:t>加大对新农合医保资金的监管，保证其独立性及安全。</w:t>
            </w:r>
          </w:p>
        </w:tc>
        <w:tc>
          <w:tcPr>
            <w:tcW w:w="1500" w:type="dxa"/>
            <w:noWrap w:val="0"/>
            <w:vAlign w:val="center"/>
          </w:tcPr>
          <w:p w14:paraId="1F5AF695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6665C113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74FEEF2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王方太</w:t>
            </w:r>
          </w:p>
        </w:tc>
        <w:tc>
          <w:tcPr>
            <w:tcW w:w="1741" w:type="dxa"/>
            <w:noWrap w:val="0"/>
            <w:vAlign w:val="center"/>
          </w:tcPr>
          <w:p w14:paraId="2A2F9D1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市卫生局</w:t>
            </w:r>
          </w:p>
        </w:tc>
        <w:tc>
          <w:tcPr>
            <w:tcW w:w="2069" w:type="dxa"/>
            <w:noWrap w:val="0"/>
            <w:vAlign w:val="center"/>
          </w:tcPr>
          <w:p w14:paraId="2F1FE83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 w14:paraId="2ECE0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948" w:type="dxa"/>
            <w:noWrap w:val="0"/>
            <w:vAlign w:val="center"/>
          </w:tcPr>
          <w:p w14:paraId="003DE36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22</w:t>
            </w:r>
          </w:p>
        </w:tc>
        <w:tc>
          <w:tcPr>
            <w:tcW w:w="5299" w:type="dxa"/>
            <w:noWrap w:val="0"/>
            <w:vAlign w:val="center"/>
          </w:tcPr>
          <w:p w14:paraId="59940678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对基层的食品药品行政执法人员加大培训力度，提高其执法查证的能力和水平，严肃查处食品药品违法行为。</w:t>
            </w:r>
          </w:p>
        </w:tc>
        <w:tc>
          <w:tcPr>
            <w:tcW w:w="1500" w:type="dxa"/>
            <w:noWrap w:val="0"/>
            <w:vAlign w:val="center"/>
          </w:tcPr>
          <w:p w14:paraId="53654F18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7AD0C69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7798A1D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王方太</w:t>
            </w:r>
          </w:p>
        </w:tc>
        <w:tc>
          <w:tcPr>
            <w:tcW w:w="1741" w:type="dxa"/>
            <w:noWrap w:val="0"/>
            <w:vAlign w:val="center"/>
          </w:tcPr>
          <w:p w14:paraId="6643C910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市食品药品</w:t>
            </w:r>
          </w:p>
          <w:p w14:paraId="208BB63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监督管理局</w:t>
            </w:r>
          </w:p>
        </w:tc>
        <w:tc>
          <w:tcPr>
            <w:tcW w:w="2069" w:type="dxa"/>
            <w:noWrap w:val="0"/>
            <w:vAlign w:val="center"/>
          </w:tcPr>
          <w:p w14:paraId="07383066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 w14:paraId="22385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7" w:hRule="atLeast"/>
        </w:trPr>
        <w:tc>
          <w:tcPr>
            <w:tcW w:w="948" w:type="dxa"/>
            <w:noWrap w:val="0"/>
            <w:vAlign w:val="center"/>
          </w:tcPr>
          <w:p w14:paraId="1D88EBBE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23</w:t>
            </w:r>
          </w:p>
        </w:tc>
        <w:tc>
          <w:tcPr>
            <w:tcW w:w="5299" w:type="dxa"/>
            <w:noWrap w:val="0"/>
            <w:vAlign w:val="center"/>
          </w:tcPr>
          <w:p w14:paraId="1C7C5421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要对城乡低保对象进行动态管理，杜绝本不该享受低保政策的人却享受低保，严肃查处弄虚作假行为。</w:t>
            </w:r>
          </w:p>
        </w:tc>
        <w:tc>
          <w:tcPr>
            <w:tcW w:w="1500" w:type="dxa"/>
            <w:noWrap w:val="0"/>
            <w:vAlign w:val="center"/>
          </w:tcPr>
          <w:p w14:paraId="52FAA93B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123C564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45F5983C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关  尧</w:t>
            </w:r>
          </w:p>
        </w:tc>
        <w:tc>
          <w:tcPr>
            <w:tcW w:w="1741" w:type="dxa"/>
            <w:noWrap w:val="0"/>
            <w:vAlign w:val="center"/>
          </w:tcPr>
          <w:p w14:paraId="69036F94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市民政局</w:t>
            </w:r>
          </w:p>
        </w:tc>
        <w:tc>
          <w:tcPr>
            <w:tcW w:w="2069" w:type="dxa"/>
            <w:noWrap w:val="0"/>
            <w:vAlign w:val="center"/>
          </w:tcPr>
          <w:p w14:paraId="71D592C7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  <w:tr w14:paraId="63411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948" w:type="dxa"/>
            <w:noWrap w:val="0"/>
            <w:vAlign w:val="center"/>
          </w:tcPr>
          <w:p w14:paraId="39EFCB3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24</w:t>
            </w:r>
          </w:p>
        </w:tc>
        <w:tc>
          <w:tcPr>
            <w:tcW w:w="5299" w:type="dxa"/>
            <w:noWrap w:val="0"/>
            <w:vAlign w:val="center"/>
          </w:tcPr>
          <w:p w14:paraId="2104D326">
            <w:pPr>
              <w:spacing w:line="360" w:lineRule="exact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甘泉公园存在建设管理混乱等诸多问题，比如公园内设立园中园、将湖区承包给私人养鱼盈利、乱摆摊设点、营利性电影院放映暴力恐怖影片、挤占群众休闲活动场地等。请让公园姓“公”，不再收取门票，成为老百姓休闲健身的场所和展示张掖古城风貌的花园。</w:t>
            </w:r>
          </w:p>
        </w:tc>
        <w:tc>
          <w:tcPr>
            <w:tcW w:w="1500" w:type="dxa"/>
            <w:noWrap w:val="0"/>
            <w:vAlign w:val="center"/>
          </w:tcPr>
          <w:p w14:paraId="6BAD6B21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ascii="仿宋_GB2312" w:hAnsi="仿宋"/>
                <w:sz w:val="24"/>
                <w:szCs w:val="24"/>
              </w:rPr>
              <w:t>2014年</w:t>
            </w:r>
          </w:p>
          <w:p w14:paraId="212C7ADA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12月底前</w:t>
            </w:r>
          </w:p>
        </w:tc>
        <w:tc>
          <w:tcPr>
            <w:tcW w:w="1572" w:type="dxa"/>
            <w:noWrap w:val="0"/>
            <w:vAlign w:val="center"/>
          </w:tcPr>
          <w:p w14:paraId="7EA4F4F9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余  锋</w:t>
            </w:r>
          </w:p>
        </w:tc>
        <w:tc>
          <w:tcPr>
            <w:tcW w:w="1741" w:type="dxa"/>
            <w:noWrap w:val="0"/>
            <w:vAlign w:val="center"/>
          </w:tcPr>
          <w:p w14:paraId="1CAB4EE2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  <w:r>
              <w:rPr>
                <w:rFonts w:hint="eastAsia" w:ascii="仿宋_GB2312" w:hAnsi="仿宋"/>
                <w:sz w:val="24"/>
                <w:szCs w:val="24"/>
              </w:rPr>
              <w:t>甘州区政府</w:t>
            </w:r>
          </w:p>
        </w:tc>
        <w:tc>
          <w:tcPr>
            <w:tcW w:w="2069" w:type="dxa"/>
            <w:noWrap w:val="0"/>
            <w:vAlign w:val="center"/>
          </w:tcPr>
          <w:p w14:paraId="32555A0D">
            <w:pPr>
              <w:spacing w:line="360" w:lineRule="exact"/>
              <w:jc w:val="center"/>
              <w:rPr>
                <w:rFonts w:hint="eastAsia" w:ascii="仿宋_GB2312" w:hAnsi="仿宋"/>
                <w:sz w:val="24"/>
                <w:szCs w:val="24"/>
              </w:rPr>
            </w:pPr>
          </w:p>
        </w:tc>
      </w:tr>
    </w:tbl>
    <w:p w14:paraId="48766D8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小标宋简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1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2024-12-24T08:37:50Z</dcterms:created>
  <dc:creator>pengg</dc:creator>
  <cp:lastModifiedBy>P几</cp:lastModifiedBy>
  <dcterms:modified xsi:type="dcterms:W3CDTF">2024-12-24T08:38:01Z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0D3CDC4B208A4EC0A860D2CF6A7B9B06_12</vt:lpwstr>
  </property>
</Properties>
</file>