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4" w:lineRule="exact"/>
        <w:jc w:val="center"/>
        <w:rPr>
          <w:rFonts w:hint="eastAsia" w:ascii="方正小标宋简体" w:eastAsia="方正小标宋简体"/>
          <w:color w:val="000000"/>
          <w:sz w:val="44"/>
          <w:szCs w:val="32"/>
        </w:rPr>
      </w:pPr>
      <w:bookmarkStart w:id="4" w:name="_GoBack"/>
      <w:bookmarkEnd w:id="4"/>
    </w:p>
    <w:p>
      <w:pPr>
        <w:spacing w:line="574" w:lineRule="exact"/>
        <w:jc w:val="center"/>
        <w:rPr>
          <w:rFonts w:hint="eastAsia" w:ascii="方正小标宋简体" w:eastAsia="方正小标宋简体"/>
          <w:color w:val="000000"/>
          <w:sz w:val="44"/>
          <w:szCs w:val="32"/>
        </w:rPr>
      </w:pPr>
      <w:r>
        <w:rPr>
          <w:rFonts w:hint="eastAsia" w:ascii="方正小标宋简体" w:eastAsia="方正小标宋简体"/>
          <w:color w:val="000000"/>
          <w:sz w:val="44"/>
          <w:szCs w:val="32"/>
        </w:rPr>
        <w:t>张掖市水权改革工作方案</w:t>
      </w:r>
    </w:p>
    <w:p>
      <w:pPr>
        <w:spacing w:line="574" w:lineRule="exact"/>
        <w:jc w:val="center"/>
        <w:rPr>
          <w:rFonts w:hint="eastAsia" w:ascii="楷体_GB2312" w:eastAsia="楷体_GB2312"/>
          <w:color w:val="000000"/>
          <w:sz w:val="32"/>
          <w:szCs w:val="32"/>
        </w:rPr>
      </w:pPr>
      <w:r>
        <w:rPr>
          <w:rFonts w:hint="eastAsia" w:ascii="楷体_GB2312" w:eastAsia="楷体_GB2312"/>
          <w:color w:val="000000"/>
          <w:sz w:val="32"/>
          <w:szCs w:val="32"/>
        </w:rPr>
        <w:t>（送审稿）</w:t>
      </w:r>
    </w:p>
    <w:p>
      <w:pPr>
        <w:spacing w:line="574" w:lineRule="exact"/>
        <w:ind w:firstLine="640" w:firstLineChars="200"/>
        <w:rPr>
          <w:rFonts w:eastAsia="仿宋_GB2312"/>
          <w:color w:val="000000"/>
          <w:sz w:val="32"/>
          <w:szCs w:val="32"/>
        </w:rPr>
      </w:pPr>
    </w:p>
    <w:p>
      <w:pPr>
        <w:spacing w:line="574" w:lineRule="exact"/>
        <w:ind w:firstLine="707" w:firstLineChars="221"/>
        <w:rPr>
          <w:rFonts w:ascii="仿宋_GB2312" w:eastAsia="仿宋_GB2312"/>
          <w:color w:val="000000"/>
          <w:sz w:val="32"/>
          <w:szCs w:val="32"/>
        </w:rPr>
      </w:pPr>
      <w:r>
        <w:rPr>
          <w:rFonts w:hint="eastAsia" w:ascii="仿宋_GB2312" w:eastAsia="仿宋_GB2312"/>
          <w:color w:val="000000"/>
          <w:sz w:val="32"/>
          <w:szCs w:val="32"/>
        </w:rPr>
        <w:t>为严格落实水资源刚性约束制度，切实解决水权确权不科学、不规范、地水矛盾突出等水资源领域问题，落实“四水四定”，进一步促进水资源合理配置、高效利用，根据水利部、国家发展改革委、财政部《关于推进用水权改革的指导意见》</w:t>
      </w:r>
      <w:r>
        <w:rPr>
          <w:rFonts w:hint="eastAsia" w:ascii="楷体_GB2312" w:hAnsi="楷体_GB2312" w:eastAsia="楷体_GB2312" w:cs="楷体_GB2312"/>
          <w:color w:val="000000"/>
          <w:sz w:val="28"/>
          <w:szCs w:val="28"/>
        </w:rPr>
        <w:t>（水资管〔2022〕333号）</w:t>
      </w:r>
      <w:r>
        <w:rPr>
          <w:rFonts w:hint="eastAsia" w:ascii="仿宋_GB2312" w:eastAsia="仿宋_GB2312"/>
          <w:color w:val="000000"/>
          <w:sz w:val="32"/>
          <w:szCs w:val="32"/>
        </w:rPr>
        <w:t>等文件精神，结合我市实际，制定本方案。</w:t>
      </w:r>
    </w:p>
    <w:p>
      <w:pPr>
        <w:spacing w:line="574" w:lineRule="exact"/>
        <w:ind w:firstLine="707" w:firstLineChars="221"/>
        <w:rPr>
          <w:rFonts w:hint="eastAsia" w:ascii="楷体_GB2312" w:hAnsi="仿宋_GB2312" w:eastAsia="楷体_GB2312" w:cs="仿宋_GB2312"/>
          <w:b/>
          <w:color w:val="000000"/>
          <w:sz w:val="32"/>
          <w:szCs w:val="32"/>
        </w:rPr>
      </w:pPr>
      <w:r>
        <w:rPr>
          <w:rFonts w:hint="eastAsia" w:ascii="黑体" w:hAnsi="黑体" w:eastAsia="黑体"/>
          <w:color w:val="000000"/>
          <w:sz w:val="32"/>
          <w:szCs w:val="32"/>
        </w:rPr>
        <w:t>一、目标要求</w:t>
      </w:r>
    </w:p>
    <w:p>
      <w:pPr>
        <w:spacing w:line="574" w:lineRule="exact"/>
        <w:ind w:firstLine="707" w:firstLineChars="22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坚持以习近平新时代中国特色社会主义思想为指导，全面贯彻党的二十大及二十届历次全会精神，认真贯彻落实习近平总书记“节水优先、空间均衡、系统治理、两手发力”治水思路和关于治水重要论述精神，坚持“四水四定”原则，聚焦“一屏三地”功能定位，立足筑牢守好国家西部生态安全屏障，把水资源作为最大的刚性约束，</w:t>
      </w:r>
      <w:r>
        <w:rPr>
          <w:rFonts w:hint="eastAsia" w:ascii="仿宋_GB2312" w:eastAsia="仿宋_GB2312"/>
          <w:color w:val="000000"/>
          <w:sz w:val="32"/>
          <w:szCs w:val="32"/>
        </w:rPr>
        <w:t>全面完成初始水权重置确权，健全完善水权改革配套制度，</w:t>
      </w:r>
      <w:r>
        <w:rPr>
          <w:rFonts w:hint="eastAsia" w:ascii="仿宋_GB2312" w:hAnsi="仿宋_GB2312" w:eastAsia="仿宋_GB2312" w:cs="仿宋_GB2312"/>
          <w:color w:val="000000"/>
          <w:sz w:val="32"/>
          <w:szCs w:val="32"/>
        </w:rPr>
        <w:t>构建</w:t>
      </w:r>
      <w:r>
        <w:rPr>
          <w:rFonts w:ascii="仿宋_GB2312" w:eastAsia="仿宋_GB2312"/>
          <w:color w:val="000000"/>
          <w:sz w:val="32"/>
          <w:szCs w:val="32"/>
        </w:rPr>
        <w:t>归属清晰、权责明确、流转顺畅、监管有效的用水权制度体系</w:t>
      </w:r>
      <w:r>
        <w:rPr>
          <w:rFonts w:hint="eastAsia" w:ascii="仿宋_GB2312" w:eastAsia="仿宋_GB2312"/>
          <w:color w:val="000000"/>
          <w:sz w:val="32"/>
          <w:szCs w:val="32"/>
        </w:rPr>
        <w:t>。</w:t>
      </w:r>
      <w:r>
        <w:rPr>
          <w:rFonts w:hint="eastAsia" w:ascii="仿宋_GB2312" w:hAnsi="仿宋_GB2312" w:eastAsia="仿宋_GB2312" w:cs="仿宋_GB2312"/>
          <w:color w:val="000000"/>
          <w:sz w:val="32"/>
          <w:szCs w:val="32"/>
          <w:u w:val="none"/>
        </w:rPr>
        <w:t>严格按照用水定额先进值“零基预算”，严禁突破核定的水权指标预算水量，合理预算地表水、控制预算地下水、科学预算非常规水，坚决抑制不合理用水需求。</w:t>
      </w:r>
      <w:r>
        <w:rPr>
          <w:rFonts w:ascii="仿宋_GB2312" w:eastAsia="仿宋_GB2312"/>
          <w:color w:val="000000"/>
          <w:sz w:val="32"/>
          <w:szCs w:val="32"/>
        </w:rPr>
        <w:t>推进用水权市场化交易</w:t>
      </w:r>
      <w:r>
        <w:rPr>
          <w:rFonts w:hint="eastAsia" w:ascii="仿宋_GB2312" w:eastAsia="仿宋_GB2312"/>
          <w:color w:val="000000"/>
          <w:sz w:val="32"/>
          <w:szCs w:val="32"/>
        </w:rPr>
        <w:t>，</w:t>
      </w:r>
      <w:r>
        <w:rPr>
          <w:rFonts w:ascii="仿宋_GB2312" w:eastAsia="仿宋_GB2312"/>
          <w:color w:val="000000"/>
          <w:sz w:val="32"/>
          <w:szCs w:val="32"/>
        </w:rPr>
        <w:t>促进水资源在不同行业间的合理流动</w:t>
      </w:r>
      <w:r>
        <w:rPr>
          <w:rFonts w:hint="eastAsia" w:ascii="仿宋_GB2312" w:eastAsia="仿宋_GB2312"/>
          <w:color w:val="000000"/>
          <w:sz w:val="32"/>
          <w:szCs w:val="32"/>
        </w:rPr>
        <w:t>，</w:t>
      </w:r>
      <w:r>
        <w:rPr>
          <w:rFonts w:hint="eastAsia" w:ascii="仿宋_GB2312" w:hAnsi="仿宋_GB2312" w:eastAsia="仿宋_GB2312" w:cs="仿宋_GB2312"/>
          <w:color w:val="000000"/>
          <w:sz w:val="32"/>
          <w:szCs w:val="32"/>
        </w:rPr>
        <w:t>提升水资源优化配置和节约集约安全利用水平，坚定不移走好水资源刚性约束下的高质量发展之路。</w:t>
      </w:r>
    </w:p>
    <w:p>
      <w:pPr>
        <w:spacing w:line="574" w:lineRule="exact"/>
        <w:ind w:firstLine="707" w:firstLineChars="221"/>
        <w:rPr>
          <w:rFonts w:hint="eastAsia" w:ascii="黑体" w:hAnsi="黑体" w:eastAsia="黑体"/>
          <w:color w:val="000000"/>
          <w:sz w:val="32"/>
          <w:szCs w:val="32"/>
        </w:rPr>
      </w:pPr>
      <w:r>
        <w:rPr>
          <w:rFonts w:hint="eastAsia" w:ascii="黑体" w:hAnsi="黑体" w:eastAsia="黑体"/>
          <w:color w:val="000000"/>
          <w:sz w:val="32"/>
          <w:szCs w:val="32"/>
        </w:rPr>
        <w:t>二、改革任务</w:t>
      </w:r>
    </w:p>
    <w:p>
      <w:pPr>
        <w:spacing w:line="574" w:lineRule="exact"/>
        <w:ind w:firstLine="709" w:firstLineChars="221"/>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（一）初始水权重置确权</w:t>
      </w:r>
    </w:p>
    <w:p>
      <w:pPr>
        <w:spacing w:line="574" w:lineRule="exact"/>
        <w:ind w:firstLine="707" w:firstLineChars="221"/>
        <w:rPr>
          <w:rFonts w:hint="eastAsia" w:ascii="仿宋_GB2312" w:eastAsia="仿宋_GB2312"/>
          <w:color w:val="000000"/>
          <w:sz w:val="32"/>
          <w:szCs w:val="32"/>
        </w:rPr>
      </w:pPr>
      <w:r>
        <w:rPr>
          <w:rFonts w:hint="eastAsia" w:ascii="仿宋_GB2312" w:eastAsia="仿宋_GB2312"/>
          <w:color w:val="000000"/>
          <w:sz w:val="32"/>
          <w:szCs w:val="32"/>
        </w:rPr>
        <w:t>以省政府和市政府下达的市、县区用水总量控制指标为上限，按照《甘肃省行业用水定额</w:t>
      </w:r>
      <w:r>
        <w:rPr>
          <w:rFonts w:hint="eastAsia" w:ascii="楷体_GB2312" w:hAnsi="楷体_GB2312" w:eastAsia="楷体_GB2312" w:cs="楷体_GB2312"/>
          <w:color w:val="000000"/>
          <w:sz w:val="28"/>
          <w:szCs w:val="28"/>
        </w:rPr>
        <w:t>（2023版）</w:t>
      </w:r>
      <w:r>
        <w:rPr>
          <w:rFonts w:hint="eastAsia" w:ascii="仿宋_GB2312" w:eastAsia="仿宋_GB2312"/>
          <w:color w:val="000000"/>
          <w:sz w:val="32"/>
          <w:szCs w:val="32"/>
        </w:rPr>
        <w:t>》，对各县区、各行业用水权进行重新核定。</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1.灌溉用水户水权确权。</w:t>
      </w:r>
      <w:r>
        <w:rPr>
          <w:rFonts w:hint="eastAsia" w:ascii="仿宋_GB2312" w:hAnsi="仿宋_GB2312" w:eastAsia="仿宋_GB2312" w:cs="仿宋_GB2312"/>
          <w:color w:val="000000"/>
          <w:sz w:val="32"/>
          <w:szCs w:val="32"/>
        </w:rPr>
        <w:t>仅认定全市二轮延包面积水权，根据图斑和四至坐标分乡镇、分灌区、分村社精准锁定，二轮延包面积以外耕地</w:t>
      </w:r>
      <w:r>
        <w:rPr>
          <w:rFonts w:hint="eastAsia" w:ascii="楷体_GB2312" w:hAnsi="楷体_GB2312" w:eastAsia="楷体_GB2312" w:cs="楷体_GB2312"/>
          <w:color w:val="000000"/>
          <w:sz w:val="28"/>
          <w:szCs w:val="28"/>
        </w:rPr>
        <w:t>（含新开、复垦、未批耕地）</w:t>
      </w:r>
      <w:r>
        <w:rPr>
          <w:rFonts w:hint="eastAsia" w:ascii="仿宋_GB2312" w:hAnsi="仿宋_GB2312" w:eastAsia="仿宋_GB2312" w:cs="仿宋_GB2312"/>
          <w:color w:val="000000"/>
          <w:sz w:val="32"/>
          <w:szCs w:val="32"/>
        </w:rPr>
        <w:t>一律不予确定水权。地表水、地下水结合现状灌溉方式、渠系利用率等因素，分别核定、分别发证。严禁超定额、超总量分配，严格控制地下水开采量，经水资源论证后科学合理调整地下水许可水量。林草地水权包含在灌区水权内，以灌区取水许可批复的林草用水量确定。确权对象为农户、国有集体林场、农民专业合作社、村集体经济组织。</w:t>
      </w:r>
      <w:r>
        <w:rPr>
          <w:rFonts w:hint="eastAsia" w:ascii="楷体_GB2312" w:hAnsi="楷体_GB2312" w:eastAsia="楷体_GB2312" w:cs="楷体_GB2312"/>
          <w:color w:val="000000"/>
          <w:sz w:val="32"/>
          <w:szCs w:val="32"/>
        </w:rPr>
        <w:t>（牵头单位：市水务局、市农业农村局；责任单位：各县区人民政府，市自然资源局、市林草局。以下任务均需各县区人民政府、张掖经开区落实，不再一一列出。完成时限：2026年1</w:t>
      </w:r>
      <w:r>
        <w:rPr>
          <w:rFonts w:hint="eastAsia" w:ascii="楷体_GB2312" w:hAnsi="楷体_GB2312" w:eastAsia="楷体_GB2312" w:cs="楷体_GB2312"/>
          <w:bCs/>
          <w:color w:val="000000"/>
          <w:sz w:val="32"/>
          <w:szCs w:val="32"/>
        </w:rPr>
        <w:t>2月底前</w:t>
      </w:r>
      <w:r>
        <w:rPr>
          <w:rFonts w:hint="eastAsia" w:ascii="楷体_GB2312" w:hAnsi="楷体_GB2312" w:eastAsia="楷体_GB2312" w:cs="楷体_GB2312"/>
          <w:color w:val="000000"/>
          <w:sz w:val="32"/>
          <w:szCs w:val="32"/>
        </w:rPr>
        <w:t>）</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2.取水许可用水户水权确权。</w:t>
      </w:r>
      <w:r>
        <w:rPr>
          <w:rFonts w:hint="eastAsia" w:ascii="仿宋_GB2312" w:hAnsi="仿宋_GB2312" w:eastAsia="仿宋_GB2312" w:cs="仿宋_GB2312"/>
          <w:color w:val="000000"/>
          <w:sz w:val="32"/>
          <w:szCs w:val="32"/>
        </w:rPr>
        <w:t>已核发</w:t>
      </w:r>
      <w:r>
        <w:rPr>
          <w:rFonts w:hint="eastAsia" w:ascii="仿宋_GB2312" w:hAnsi="仿宋_GB2312" w:eastAsia="仿宋_GB2312" w:cs="仿宋_GB2312"/>
          <w:sz w:val="32"/>
          <w:szCs w:val="32"/>
        </w:rPr>
        <w:t>生活、工业、林草、畜牧等行业</w:t>
      </w:r>
      <w:r>
        <w:rPr>
          <w:rFonts w:hint="eastAsia" w:ascii="仿宋_GB2312" w:hAnsi="仿宋_GB2312" w:eastAsia="仿宋_GB2312" w:cs="仿宋_GB2312"/>
          <w:color w:val="000000"/>
          <w:sz w:val="32"/>
          <w:szCs w:val="32"/>
        </w:rPr>
        <w:t>取水许可证的取用水户，按取水许可+行业定额核定用水量，</w:t>
      </w:r>
      <w:r>
        <w:rPr>
          <w:rFonts w:hint="eastAsia" w:ascii="仿宋_GB2312" w:hAnsi="仿宋_GB2312" w:eastAsia="仿宋_GB2312" w:cs="仿宋_GB2312"/>
          <w:sz w:val="32"/>
          <w:szCs w:val="32"/>
        </w:rPr>
        <w:t>进一步明晰水权。</w:t>
      </w:r>
      <w:r>
        <w:rPr>
          <w:rFonts w:hint="eastAsia" w:ascii="仿宋_GB2312" w:hAnsi="仿宋_GB2312" w:eastAsia="仿宋_GB2312" w:cs="仿宋_GB2312"/>
          <w:color w:val="000000"/>
          <w:sz w:val="32"/>
          <w:szCs w:val="32"/>
        </w:rPr>
        <w:t>不得超许可、超定额确权。新建工业项目优先通过水权交易获得用水指标。</w:t>
      </w:r>
      <w:r>
        <w:rPr>
          <w:rFonts w:hint="eastAsia" w:ascii="楷体_GB2312" w:hAnsi="楷体_GB2312" w:eastAsia="楷体_GB2312" w:cs="楷体_GB2312"/>
          <w:color w:val="000000"/>
          <w:sz w:val="32"/>
          <w:szCs w:val="32"/>
        </w:rPr>
        <w:t>（牵头单位：市水务局；责任单位：市住建局、市工信局、市林草局、市畜牧局。完成时限：2026年</w:t>
      </w:r>
      <w:r>
        <w:rPr>
          <w:rFonts w:hint="eastAsia" w:ascii="楷体_GB2312" w:hAnsi="楷体_GB2312" w:eastAsia="楷体_GB2312" w:cs="楷体_GB2312"/>
          <w:bCs/>
          <w:color w:val="000000"/>
          <w:sz w:val="32"/>
          <w:szCs w:val="32"/>
        </w:rPr>
        <w:t>12月底前</w:t>
      </w:r>
      <w:r>
        <w:rPr>
          <w:rFonts w:hint="eastAsia" w:ascii="楷体_GB2312" w:hAnsi="楷体_GB2312" w:eastAsia="楷体_GB2312" w:cs="楷体_GB2312"/>
          <w:color w:val="000000"/>
          <w:sz w:val="32"/>
          <w:szCs w:val="32"/>
        </w:rPr>
        <w:t>）</w:t>
      </w:r>
    </w:p>
    <w:p>
      <w:pPr>
        <w:spacing w:line="574" w:lineRule="exact"/>
        <w:ind w:firstLine="709" w:firstLineChars="221"/>
        <w:rPr>
          <w:rFonts w:hint="eastAsia" w:ascii="仿宋_GB2312" w:hAnsi="仿宋_GB2312" w:eastAsia="仿宋_GB2312" w:cs="仿宋_GB2312"/>
          <w:color w:val="FF0000"/>
          <w:sz w:val="32"/>
          <w:szCs w:val="32"/>
        </w:rPr>
      </w:pPr>
      <w:r>
        <w:rPr>
          <w:rFonts w:hint="eastAsia" w:ascii="仿宋_GB2312" w:hAnsi="仿宋_GB2312" w:eastAsia="仿宋_GB2312" w:cs="仿宋_GB2312"/>
          <w:b/>
          <w:color w:val="000000"/>
          <w:sz w:val="32"/>
          <w:szCs w:val="32"/>
        </w:rPr>
        <w:t>3.公共供水管网用水户水权确权。</w:t>
      </w:r>
      <w:r>
        <w:rPr>
          <w:rFonts w:hint="eastAsia" w:ascii="仿宋_GB2312" w:hAnsi="仿宋_GB2312" w:eastAsia="仿宋_GB2312" w:cs="仿宋_GB2312"/>
          <w:color w:val="000000"/>
          <w:kern w:val="0"/>
          <w:sz w:val="32"/>
          <w:szCs w:val="32"/>
        </w:rPr>
        <w:t>对公共供水管网内年用水量超过1万立方米的</w:t>
      </w:r>
      <w:r>
        <w:rPr>
          <w:rFonts w:hint="eastAsia" w:ascii="仿宋_GB2312" w:hAnsi="仿宋_GB2312" w:eastAsia="仿宋_GB2312" w:cs="仿宋_GB2312"/>
          <w:sz w:val="32"/>
          <w:szCs w:val="32"/>
        </w:rPr>
        <w:t>工业企业、服务业、公共机构、养殖大户等主要用水户</w:t>
      </w:r>
      <w:r>
        <w:rPr>
          <w:rFonts w:hint="eastAsia" w:ascii="仿宋_GB2312" w:hAnsi="仿宋_GB2312" w:eastAsia="仿宋_GB2312" w:cs="仿宋_GB2312"/>
          <w:color w:val="000000"/>
          <w:kern w:val="0"/>
          <w:sz w:val="32"/>
          <w:szCs w:val="32"/>
        </w:rPr>
        <w:t>，根据</w:t>
      </w:r>
      <w:r>
        <w:rPr>
          <w:rFonts w:hint="eastAsia" w:ascii="仿宋_GB2312" w:hAnsi="仿宋_GB2312" w:eastAsia="仿宋_GB2312" w:cs="仿宋_GB2312"/>
          <w:color w:val="000000"/>
          <w:sz w:val="32"/>
          <w:szCs w:val="32"/>
        </w:rPr>
        <w:t>用水定额先进值核定用水量，综合考虑管网漏损率等指标，明晰用水权；城镇居民用水户按照用水定额保障。</w:t>
      </w:r>
      <w:r>
        <w:rPr>
          <w:rFonts w:hint="eastAsia" w:ascii="楷体_GB2312" w:hAnsi="楷体_GB2312" w:eastAsia="楷体_GB2312" w:cs="楷体_GB2312"/>
          <w:color w:val="000000"/>
          <w:sz w:val="32"/>
          <w:szCs w:val="32"/>
        </w:rPr>
        <w:t>（牵头单位：市水务局；责任单位：市住建局、市工信局、市畜牧局。完成时限：2026年</w:t>
      </w:r>
      <w:r>
        <w:rPr>
          <w:rFonts w:hint="eastAsia" w:ascii="楷体_GB2312" w:hAnsi="楷体_GB2312" w:eastAsia="楷体_GB2312" w:cs="楷体_GB2312"/>
          <w:bCs/>
          <w:color w:val="000000"/>
          <w:sz w:val="32"/>
          <w:szCs w:val="32"/>
        </w:rPr>
        <w:t>12月底前</w:t>
      </w:r>
      <w:r>
        <w:rPr>
          <w:rFonts w:hint="eastAsia" w:ascii="楷体_GB2312" w:hAnsi="楷体_GB2312" w:eastAsia="楷体_GB2312" w:cs="楷体_GB2312"/>
          <w:color w:val="000000"/>
          <w:sz w:val="32"/>
          <w:szCs w:val="32"/>
        </w:rPr>
        <w:t>）</w:t>
      </w:r>
    </w:p>
    <w:p>
      <w:pPr>
        <w:spacing w:line="574" w:lineRule="exact"/>
        <w:ind w:firstLine="709" w:firstLineChars="221"/>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（二）建立水权收储机制</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1.收储主体。</w:t>
      </w:r>
      <w:r>
        <w:rPr>
          <w:rFonts w:hint="eastAsia" w:ascii="仿宋_GB2312" w:hAnsi="仿宋_GB2312" w:eastAsia="仿宋_GB2312" w:cs="仿宋_GB2312"/>
          <w:color w:val="000000"/>
          <w:sz w:val="32"/>
          <w:szCs w:val="32"/>
        </w:rPr>
        <w:t>市、县区人民政府为水权收储主体，建立分级水权收储机制，由水务部门牵头，农业农村、自然资源、工信、住建等行业主管部门配合，开展水权收储具体工作，经市、县区人民政府批准后下达水权收储认定批复文件。</w:t>
      </w:r>
      <w:r>
        <w:rPr>
          <w:rFonts w:hint="eastAsia" w:ascii="楷体_GB2312" w:hAnsi="楷体_GB2312" w:eastAsia="楷体_GB2312" w:cs="楷体_GB2312"/>
          <w:color w:val="000000"/>
          <w:sz w:val="32"/>
          <w:szCs w:val="32"/>
        </w:rPr>
        <w:t>（牵头单位：市水务局；责任单位：市农业农村局、市自然资源局、市工信局、市住建局、市林草局。完成时限：2027年底前取得阶段性成效并长期坚持）</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2.收储范围及方式。</w:t>
      </w:r>
      <w:r>
        <w:rPr>
          <w:rFonts w:hint="eastAsia" w:ascii="仿宋_GB2312" w:hAnsi="仿宋_GB2312" w:eastAsia="仿宋_GB2312" w:cs="仿宋_GB2312"/>
          <w:bCs/>
          <w:color w:val="000000"/>
          <w:sz w:val="32"/>
          <w:szCs w:val="32"/>
        </w:rPr>
        <w:t>（1）名录外耕地、超许可、超定额等违规配置的水权，企业关停等长期闲置水权，强制无偿收储，</w:t>
      </w:r>
      <w:r>
        <w:rPr>
          <w:rFonts w:hint="eastAsia" w:ascii="仿宋_GB2312" w:hAnsi="仿宋_GB2312" w:eastAsia="仿宋_GB2312" w:cs="仿宋_GB2312"/>
          <w:color w:val="000000"/>
          <w:sz w:val="32"/>
          <w:szCs w:val="32"/>
        </w:rPr>
        <w:t>下达《水权收储决定书》，限期执行</w:t>
      </w:r>
      <w:r>
        <w:rPr>
          <w:rFonts w:hint="eastAsia" w:ascii="仿宋_GB2312" w:hAnsi="仿宋_GB2312" w:eastAsia="仿宋_GB2312" w:cs="仿宋_GB2312"/>
          <w:bCs/>
          <w:color w:val="000000"/>
          <w:sz w:val="32"/>
          <w:szCs w:val="32"/>
        </w:rPr>
        <w:t>；（2）用水户节水结余水权，自愿有偿收储，</w:t>
      </w:r>
      <w:r>
        <w:rPr>
          <w:rFonts w:hint="eastAsia" w:ascii="仿宋_GB2312" w:hAnsi="仿宋_GB2312" w:eastAsia="仿宋_GB2312" w:cs="仿宋_GB2312"/>
          <w:color w:val="000000"/>
          <w:sz w:val="32"/>
          <w:szCs w:val="32"/>
        </w:rPr>
        <w:t>签订《水权收储协议》，实行差别化收储价格标准，农业节水按节水成本+合理收益核定，工业节水按市场基准价核定</w:t>
      </w:r>
      <w:r>
        <w:rPr>
          <w:rFonts w:hint="eastAsia" w:ascii="仿宋_GB2312" w:hAnsi="仿宋_GB2312" w:eastAsia="仿宋_GB2312" w:cs="仿宋_GB2312"/>
          <w:bCs/>
          <w:color w:val="000000"/>
          <w:sz w:val="32"/>
          <w:szCs w:val="32"/>
        </w:rPr>
        <w:t>；（3）政府预留生态、应急水量等预留水权，专项收储。</w:t>
      </w:r>
      <w:r>
        <w:rPr>
          <w:rFonts w:hint="eastAsia" w:ascii="楷体_GB2312" w:hAnsi="楷体_GB2312" w:eastAsia="楷体_GB2312" w:cs="楷体_GB2312"/>
          <w:color w:val="000000"/>
          <w:sz w:val="32"/>
          <w:szCs w:val="32"/>
        </w:rPr>
        <w:t>（牵头单位：市水务局；责任单位：市发展改革委、市农业农村局、市自然资源局、市工信局、市住建局、市林草局。完成时限：2027年底前取得阶段性成效并长期坚持）</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3.收储资金。</w:t>
      </w:r>
      <w:r>
        <w:rPr>
          <w:rFonts w:hint="eastAsia" w:ascii="仿宋_GB2312" w:hAnsi="仿宋_GB2312" w:eastAsia="仿宋_GB2312" w:cs="仿宋_GB2312"/>
          <w:color w:val="000000"/>
          <w:sz w:val="32"/>
          <w:szCs w:val="32"/>
        </w:rPr>
        <w:t>市、县区财政在节水奖励专项资金中统筹列支水权收储资金，主要用于水权有偿收储、计量设施建设、节水奖励等方面，专款专用、审计监督。</w:t>
      </w:r>
      <w:r>
        <w:rPr>
          <w:rFonts w:hint="eastAsia" w:ascii="楷体_GB2312" w:hAnsi="楷体_GB2312" w:eastAsia="楷体_GB2312" w:cs="楷体_GB2312"/>
          <w:color w:val="000000"/>
          <w:sz w:val="32"/>
          <w:szCs w:val="32"/>
        </w:rPr>
        <w:t>（牵头单位：市财政局；责任单位：市水务局、市农业农村局、市工信局。完成时限：2027年底前取得阶段性成效并长期坚持）</w:t>
      </w:r>
    </w:p>
    <w:p>
      <w:pPr>
        <w:spacing w:line="574" w:lineRule="exact"/>
        <w:ind w:firstLine="709" w:firstLineChars="221"/>
        <w:rPr>
          <w:rFonts w:hint="eastAsia" w:ascii="楷体_GB2312" w:eastAsia="楷体_GB2312"/>
          <w:b/>
          <w:color w:val="000000"/>
          <w:sz w:val="32"/>
          <w:szCs w:val="32"/>
        </w:rPr>
      </w:pPr>
      <w:r>
        <w:rPr>
          <w:rFonts w:hint="eastAsia" w:ascii="楷体_GB2312" w:eastAsia="楷体_GB2312"/>
          <w:b/>
          <w:color w:val="000000"/>
          <w:sz w:val="32"/>
          <w:szCs w:val="32"/>
        </w:rPr>
        <w:t>（三）建立水权交易机制</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1.推进区域水权交易。</w:t>
      </w:r>
      <w:r>
        <w:rPr>
          <w:rFonts w:hint="eastAsia" w:ascii="仿宋_GB2312" w:hAnsi="仿宋_GB2312" w:eastAsia="仿宋_GB2312" w:cs="仿宋_GB2312"/>
          <w:color w:val="000000"/>
          <w:sz w:val="32"/>
          <w:szCs w:val="32"/>
        </w:rPr>
        <w:t>对位于同一流域或者位于不同流域但具备调水条件的行政区域，县级以上地方人民政府或者其授权的部门、单位，可对区域用水总量指标内的结余或预留水量开展交易，交易水量不占受让区域用水总量控制指标。</w:t>
      </w:r>
      <w:r>
        <w:rPr>
          <w:rFonts w:hint="eastAsia" w:ascii="楷体_GB2312" w:hAnsi="楷体_GB2312" w:eastAsia="楷体_GB2312" w:cs="楷体_GB2312"/>
          <w:color w:val="000000"/>
          <w:sz w:val="32"/>
          <w:szCs w:val="32"/>
        </w:rPr>
        <w:t>（牵头单位：市水务局；责任单位：市财政局、市农业农村局、市工信局、市公共资源交易中心。完成时限：2027年底前取得阶段性成效并长期坚持）</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2.推进取水权交易。</w:t>
      </w:r>
      <w:r>
        <w:rPr>
          <w:rFonts w:hint="eastAsia" w:ascii="仿宋_GB2312" w:hAnsi="仿宋_GB2312" w:eastAsia="仿宋_GB2312" w:cs="仿宋_GB2312"/>
          <w:color w:val="000000"/>
          <w:sz w:val="32"/>
          <w:szCs w:val="32"/>
        </w:rPr>
        <w:t>依法获得取水权的单位或个人，通过调整产品和产业结构、改革工艺、节水等措施节约的取水指标，在取水许可证有效期和取水限额内可以有偿转让相应的取水权。</w:t>
      </w:r>
      <w:r>
        <w:rPr>
          <w:rFonts w:hint="eastAsia" w:ascii="楷体_GB2312" w:hAnsi="楷体_GB2312" w:eastAsia="楷体_GB2312" w:cs="楷体_GB2312"/>
          <w:color w:val="000000"/>
          <w:sz w:val="32"/>
          <w:szCs w:val="32"/>
        </w:rPr>
        <w:t>（牵头单位：市水务局；责任单位：市财政局、市农业农村局、市工信局、市住建局、市公共资源交易中心。完成时限：2026年底前取得阶段性成效并长期坚持）</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3.推进灌溉用水户水权交易。</w:t>
      </w:r>
      <w:r>
        <w:rPr>
          <w:rFonts w:hint="eastAsia" w:ascii="仿宋_GB2312" w:hAnsi="仿宋_GB2312" w:eastAsia="仿宋_GB2312" w:cs="仿宋_GB2312"/>
          <w:color w:val="000000"/>
          <w:sz w:val="32"/>
          <w:szCs w:val="32"/>
        </w:rPr>
        <w:t>确定水权的灌溉用水户通过调整种植结构、节水改造等措施结余的取用水指标，可在灌区内部用水户之间依法转让。</w:t>
      </w:r>
      <w:r>
        <w:rPr>
          <w:rFonts w:hint="eastAsia" w:ascii="楷体_GB2312" w:hAnsi="楷体_GB2312" w:eastAsia="楷体_GB2312" w:cs="楷体_GB2312"/>
          <w:color w:val="000000"/>
          <w:sz w:val="32"/>
          <w:szCs w:val="32"/>
        </w:rPr>
        <w:t>（牵头单位：市水务局；责任单位：市农业农村局、市林草局、市公共资源交易中心。完成时限：2026年底前取得阶段性成效并长期坚持）</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4.积极培育水权市场。</w:t>
      </w:r>
      <w:r>
        <w:rPr>
          <w:rFonts w:hint="eastAsia" w:ascii="仿宋_GB2312" w:hAnsi="仿宋_GB2312" w:eastAsia="仿宋_GB2312" w:cs="仿宋_GB2312"/>
          <w:color w:val="000000"/>
          <w:sz w:val="32"/>
          <w:szCs w:val="32"/>
        </w:rPr>
        <w:t>取用水达到或超过总量指标的县区，除合理的生活用水需求外，应通过水权交易满足新增用水需求。因地制宜推进非常规水资源交易、利用非常规水源置换的用水权交易。强化市场在交易价格中的决定性作用，逐步形成与经济社会发展水平相协调、适应水资源节约保护需要的水权价格体系。</w:t>
      </w:r>
      <w:r>
        <w:rPr>
          <w:rFonts w:hint="eastAsia" w:ascii="楷体_GB2312" w:hAnsi="楷体_GB2312" w:eastAsia="楷体_GB2312" w:cs="楷体_GB2312"/>
          <w:color w:val="000000"/>
          <w:sz w:val="32"/>
          <w:szCs w:val="32"/>
        </w:rPr>
        <w:t>（牵头单位：市水务局；责任单位：市财政局、市农业农村局、市工信局、市住建局、市公共资源交易中心。完成时限：2027年底前取得阶段性成效并长期坚持）</w:t>
      </w:r>
    </w:p>
    <w:p>
      <w:pPr>
        <w:spacing w:line="574" w:lineRule="exact"/>
        <w:ind w:firstLine="709" w:firstLineChars="221"/>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（四）强化水权刚性管控</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1.规范水权使用。</w:t>
      </w:r>
      <w:r>
        <w:rPr>
          <w:rFonts w:hint="eastAsia" w:ascii="仿宋_GB2312" w:hAnsi="仿宋_GB2312" w:eastAsia="仿宋_GB2312" w:cs="仿宋_GB2312"/>
          <w:color w:val="000000"/>
          <w:sz w:val="32"/>
          <w:szCs w:val="32"/>
        </w:rPr>
        <w:t>县区依托现有智慧水务平台，建立水权管理、用水申请、水票发放、交易流转、水量计量、费用结算等核心功能的“电子水票”系统。地下水用水户按照水权指标分轮次购买水量，严格执行刷卡用水</w:t>
      </w:r>
      <w:r>
        <w:rPr>
          <w:rFonts w:hint="eastAsia" w:ascii="楷体_GB2312" w:hAnsi="楷体_GB2312" w:eastAsia="楷体_GB2312" w:cs="楷体_GB2312"/>
          <w:color w:val="000000"/>
          <w:sz w:val="28"/>
          <w:szCs w:val="28"/>
        </w:rPr>
        <w:t>（先申请、再充卡、后使用）</w:t>
      </w:r>
      <w:r>
        <w:rPr>
          <w:rFonts w:hint="eastAsia" w:ascii="仿宋_GB2312" w:hAnsi="仿宋_GB2312" w:eastAsia="仿宋_GB2312" w:cs="仿宋_GB2312"/>
          <w:color w:val="000000"/>
          <w:sz w:val="32"/>
          <w:szCs w:val="32"/>
        </w:rPr>
        <w:t>。地表水推行“先购票，后用水，凭票结算”模式，落实轮次水权水量过程性控制。</w:t>
      </w:r>
      <w:r>
        <w:rPr>
          <w:rFonts w:hint="eastAsia" w:ascii="楷体_GB2312" w:hAnsi="楷体_GB2312" w:eastAsia="楷体_GB2312" w:cs="楷体_GB2312"/>
          <w:color w:val="000000"/>
          <w:sz w:val="32"/>
          <w:szCs w:val="32"/>
        </w:rPr>
        <w:t>（牵头单位：市水务局；责任单位：市农业农村局、市林草局。完成时限：2026年12月底前）</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2.强化水权监管。</w:t>
      </w:r>
      <w:r>
        <w:rPr>
          <w:rFonts w:hint="eastAsia" w:ascii="仿宋_GB2312" w:hAnsi="仿宋_GB2312" w:eastAsia="仿宋_GB2312" w:cs="仿宋_GB2312"/>
          <w:color w:val="000000"/>
          <w:sz w:val="32"/>
          <w:szCs w:val="32"/>
        </w:rPr>
        <w:t>完善取用水监测计量体系，按要求对重点取水口、规模以上取水户安装在线监测计量设施，推进灌区计量设施配套，满足水权交易的水量核定需求。严格落实水资源用途管制，结合可用水量科学配置生活、生产、生态用水，严禁水权交易挤占生活用水、农田灌溉合理用水和基本生态用水，未经批准不得擅自改变交易后取水用途。对未经批准擅自转让取水权、用水权交易弄虚作假、水权交易程序不规范等问题，依法依规处理。</w:t>
      </w:r>
      <w:r>
        <w:rPr>
          <w:rFonts w:hint="eastAsia" w:ascii="楷体_GB2312" w:hAnsi="楷体_GB2312" w:eastAsia="楷体_GB2312" w:cs="楷体_GB2312"/>
          <w:color w:val="000000"/>
          <w:sz w:val="32"/>
          <w:szCs w:val="32"/>
        </w:rPr>
        <w:t>（牵头单位：市水务局；责任单位：市纪委监委、市农业农村局、市工信局、市住建局、市林草局、市畜牧局。完成时限：2026年底前取得阶段性成效并长期坚持）</w:t>
      </w:r>
    </w:p>
    <w:p>
      <w:pPr>
        <w:spacing w:line="574" w:lineRule="exact"/>
        <w:ind w:firstLine="709" w:firstLineChars="221"/>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（五）推进水权交易金融创新</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eastAsia="仿宋_GB2312"/>
          <w:b/>
          <w:color w:val="000000"/>
          <w:sz w:val="32"/>
          <w:szCs w:val="32"/>
        </w:rPr>
        <w:t>1.创新水权抵（质）押融资模式。</w:t>
      </w:r>
      <w:r>
        <w:rPr>
          <w:rFonts w:hint="eastAsia" w:ascii="仿宋_GB2312" w:eastAsia="仿宋_GB2312"/>
          <w:color w:val="000000"/>
          <w:sz w:val="32"/>
          <w:szCs w:val="32"/>
        </w:rPr>
        <w:t>推广“水权贷”“节水贷”融资模式，支持用水权持有者以水权为抵（质）押物获取融资，鼓励金融机构开发水权抵（质）押贷款产品。</w:t>
      </w:r>
      <w:r>
        <w:rPr>
          <w:rFonts w:hint="eastAsia" w:ascii="楷体_GB2312" w:hAnsi="楷体_GB2312" w:eastAsia="楷体_GB2312" w:cs="楷体_GB2312"/>
          <w:color w:val="000000"/>
          <w:sz w:val="32"/>
          <w:szCs w:val="32"/>
        </w:rPr>
        <w:t>（牵头单位：市水务局；责任单位：市发展改革委、市财政局。完成时限：2027年底前取得阶段性成效并长期坚持）</w:t>
      </w:r>
    </w:p>
    <w:p>
      <w:pPr>
        <w:spacing w:line="574" w:lineRule="exact"/>
        <w:ind w:firstLine="709" w:firstLineChars="221"/>
        <w:rPr>
          <w:rFonts w:hint="eastAsia" w:ascii="仿宋_GB2312" w:hAnsi="仿宋_GB2312" w:eastAsia="仿宋_GB2312" w:cs="仿宋_GB2312"/>
          <w:color w:val="000000"/>
          <w:sz w:val="32"/>
          <w:szCs w:val="32"/>
        </w:rPr>
      </w:pPr>
      <w:r>
        <w:rPr>
          <w:rFonts w:hint="eastAsia" w:ascii="仿宋_GB2312" w:eastAsia="仿宋_GB2312"/>
          <w:b/>
          <w:color w:val="000000"/>
          <w:sz w:val="32"/>
          <w:szCs w:val="32"/>
        </w:rPr>
        <w:t>2.推进合同节水管理。</w:t>
      </w:r>
      <w:r>
        <w:rPr>
          <w:rFonts w:hint="eastAsia" w:ascii="仿宋_GB2312" w:hAnsi="仿宋_GB2312" w:eastAsia="仿宋_GB2312" w:cs="仿宋_GB2312"/>
          <w:color w:val="000000"/>
          <w:sz w:val="32"/>
          <w:szCs w:val="32"/>
        </w:rPr>
        <w:t>推广“合同节水+水权交易”模式，</w:t>
      </w:r>
      <w:r>
        <w:rPr>
          <w:rFonts w:hint="eastAsia" w:ascii="仿宋_GB2312" w:eastAsia="仿宋_GB2312"/>
          <w:color w:val="000000"/>
          <w:sz w:val="32"/>
          <w:szCs w:val="32"/>
        </w:rPr>
        <w:t>在农业灌溉、重点用水行业等领域实施合同节水管理项目，</w:t>
      </w:r>
      <w:r>
        <w:rPr>
          <w:rFonts w:hint="eastAsia" w:ascii="仿宋_GB2312" w:hAnsi="仿宋_GB2312" w:eastAsia="仿宋_GB2312" w:cs="仿宋_GB2312"/>
          <w:color w:val="000000"/>
          <w:sz w:val="32"/>
          <w:szCs w:val="32"/>
        </w:rPr>
        <w:t>鼓励社会资本参与节水改造工程建设及运行养护，</w:t>
      </w:r>
      <w:r>
        <w:rPr>
          <w:rFonts w:hint="eastAsia" w:ascii="仿宋_GB2312" w:eastAsia="仿宋_GB2312"/>
          <w:color w:val="000000"/>
          <w:sz w:val="32"/>
          <w:szCs w:val="32"/>
        </w:rPr>
        <w:t>节约的水量可通过用水权转让、收储等方式进行交易，形成水资源高效利用和节水增值的良性循环。</w:t>
      </w:r>
      <w:r>
        <w:rPr>
          <w:rFonts w:hint="eastAsia" w:ascii="楷体_GB2312" w:hAnsi="楷体_GB2312" w:eastAsia="楷体_GB2312" w:cs="楷体_GB2312"/>
          <w:color w:val="000000"/>
          <w:sz w:val="32"/>
          <w:szCs w:val="32"/>
        </w:rPr>
        <w:t>（牵头单位：市水务局；责任单位：市农业农村局、市工信局、市住建局。完成时限：2027年底前取得阶段性成效并长期坚持）</w:t>
      </w:r>
    </w:p>
    <w:p>
      <w:pPr>
        <w:spacing w:line="574" w:lineRule="exact"/>
        <w:ind w:firstLine="707" w:firstLineChars="221"/>
        <w:rPr>
          <w:rFonts w:hint="eastAsia" w:ascii="黑体" w:hAnsi="黑体" w:eastAsia="黑体" w:cs="仿宋_GB2312"/>
          <w:color w:val="000000"/>
          <w:sz w:val="32"/>
          <w:szCs w:val="32"/>
        </w:rPr>
      </w:pPr>
      <w:r>
        <w:rPr>
          <w:rFonts w:hint="eastAsia" w:ascii="黑体" w:hAnsi="黑体" w:eastAsia="黑体" w:cs="仿宋_GB2312"/>
          <w:color w:val="000000"/>
          <w:sz w:val="32"/>
          <w:szCs w:val="32"/>
        </w:rPr>
        <w:t>三、实施步骤</w:t>
      </w:r>
    </w:p>
    <w:p>
      <w:pPr>
        <w:spacing w:line="574" w:lineRule="exact"/>
        <w:ind w:firstLine="709" w:firstLineChars="221"/>
        <w:rPr>
          <w:rFonts w:hint="eastAsia" w:ascii="楷体_GB2312" w:hAnsi="仿宋_GB2312" w:eastAsia="楷体_GB2312" w:cs="仿宋_GB2312"/>
          <w:b/>
          <w:bCs/>
          <w:color w:val="000000"/>
          <w:sz w:val="32"/>
          <w:szCs w:val="32"/>
        </w:rPr>
      </w:pPr>
      <w:r>
        <w:rPr>
          <w:rFonts w:hint="eastAsia" w:ascii="楷体_GB2312" w:hAnsi="仿宋_GB2312" w:eastAsia="楷体_GB2312" w:cs="仿宋_GB2312"/>
          <w:b/>
          <w:bCs/>
          <w:color w:val="000000"/>
          <w:sz w:val="32"/>
          <w:szCs w:val="32"/>
        </w:rPr>
        <w:t>（一）调查摸底阶段</w:t>
      </w:r>
      <w:r>
        <w:rPr>
          <w:rFonts w:hint="eastAsia" w:ascii="楷体_GB2312" w:eastAsia="楷体_GB2312"/>
          <w:b/>
          <w:color w:val="000000"/>
          <w:sz w:val="28"/>
          <w:szCs w:val="28"/>
        </w:rPr>
        <w:t>（2026年7月底前）</w:t>
      </w:r>
    </w:p>
    <w:p>
      <w:pPr>
        <w:spacing w:line="574" w:lineRule="exact"/>
        <w:ind w:firstLine="709" w:firstLineChars="221"/>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1.动员部署</w:t>
      </w:r>
      <w:r>
        <w:rPr>
          <w:rFonts w:hint="eastAsia" w:ascii="仿宋_GB2312" w:hAnsi="仿宋_GB2312" w:eastAsia="仿宋_GB2312" w:cs="仿宋_GB2312"/>
          <w:bCs/>
          <w:color w:val="000000"/>
          <w:sz w:val="32"/>
          <w:szCs w:val="32"/>
        </w:rPr>
        <w:t>。印发《张掖市水权改革工作方案》，市、县区逐级培训，农业农村部门提供二轮延包地名录库</w:t>
      </w:r>
      <w:r>
        <w:rPr>
          <w:rFonts w:hint="eastAsia" w:ascii="楷体_GB2312" w:hAnsi="楷体_GB2312" w:eastAsia="楷体_GB2312" w:cs="楷体_GB2312"/>
          <w:bCs/>
          <w:color w:val="000000"/>
          <w:sz w:val="28"/>
          <w:szCs w:val="28"/>
        </w:rPr>
        <w:t>（具体到村）</w:t>
      </w:r>
      <w:r>
        <w:rPr>
          <w:rFonts w:hint="eastAsia" w:ascii="仿宋_GB2312" w:hAnsi="仿宋_GB2312" w:eastAsia="仿宋_GB2312" w:cs="仿宋_GB2312"/>
          <w:bCs/>
          <w:color w:val="000000"/>
          <w:sz w:val="32"/>
          <w:szCs w:val="32"/>
        </w:rPr>
        <w:t>，林草部门提供林草地名录库</w:t>
      </w:r>
      <w:r>
        <w:rPr>
          <w:rFonts w:hint="eastAsia" w:ascii="楷体_GB2312" w:hAnsi="楷体_GB2312" w:eastAsia="楷体_GB2312" w:cs="楷体_GB2312"/>
          <w:bCs/>
          <w:color w:val="000000"/>
          <w:sz w:val="28"/>
          <w:szCs w:val="28"/>
        </w:rPr>
        <w:t>（具体到村或国有林场），</w:t>
      </w:r>
      <w:r>
        <w:rPr>
          <w:rFonts w:hint="eastAsia" w:ascii="仿宋_GB2312" w:hAnsi="仿宋_GB2312" w:eastAsia="仿宋_GB2312" w:cs="仿宋_GB2312"/>
          <w:bCs/>
          <w:color w:val="000000"/>
          <w:sz w:val="32"/>
          <w:szCs w:val="32"/>
        </w:rPr>
        <w:t>工信部门提供工业企业名录，住建、水务部门分别提供城乡公共供水管网内年用水量超过1万立方米的用水大户名录。</w:t>
      </w:r>
    </w:p>
    <w:p>
      <w:pPr>
        <w:spacing w:line="574" w:lineRule="exact"/>
        <w:ind w:firstLine="709" w:firstLineChars="221"/>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2.基础核查</w:t>
      </w:r>
      <w:r>
        <w:rPr>
          <w:rFonts w:hint="eastAsia" w:ascii="仿宋_GB2312" w:hAnsi="仿宋_GB2312" w:eastAsia="仿宋_GB2312" w:cs="仿宋_GB2312"/>
          <w:bCs/>
          <w:color w:val="000000"/>
          <w:sz w:val="32"/>
          <w:szCs w:val="32"/>
        </w:rPr>
        <w:t>。县区和乡镇对照名录、土地确权登记证，逐地块、逐用水户核查，形成《承包地灌溉面积核查表》《林草地灌溉面积核查表》《工业企业用水户核查表》《公共供水管网内用水大户核查表》。</w:t>
      </w:r>
    </w:p>
    <w:p>
      <w:pPr>
        <w:spacing w:line="574" w:lineRule="exact"/>
        <w:ind w:firstLine="709" w:firstLineChars="221"/>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3.信息公示</w:t>
      </w:r>
      <w:r>
        <w:rPr>
          <w:rFonts w:hint="eastAsia" w:ascii="仿宋_GB2312" w:hAnsi="仿宋_GB2312" w:eastAsia="仿宋_GB2312" w:cs="仿宋_GB2312"/>
          <w:bCs/>
          <w:color w:val="000000"/>
          <w:sz w:val="32"/>
          <w:szCs w:val="32"/>
        </w:rPr>
        <w:t>。灌溉用水户由村委会公示姓名、地块、面积、水源、是否在名录内等信息，</w:t>
      </w:r>
      <w:bookmarkStart w:id="0" w:name="OLE_LINK8"/>
      <w:bookmarkStart w:id="1" w:name="OLE_LINK7"/>
      <w:r>
        <w:rPr>
          <w:rFonts w:hint="eastAsia" w:ascii="仿宋_GB2312" w:hAnsi="仿宋_GB2312" w:eastAsia="仿宋_GB2312" w:cs="仿宋_GB2312"/>
          <w:bCs/>
          <w:color w:val="000000"/>
          <w:sz w:val="32"/>
          <w:szCs w:val="32"/>
        </w:rPr>
        <w:t>并留存影像、签字、异议记录等。存在异议的由乡镇复核，县区审定。</w:t>
      </w:r>
      <w:bookmarkEnd w:id="0"/>
      <w:bookmarkEnd w:id="1"/>
      <w:r>
        <w:rPr>
          <w:rFonts w:hint="eastAsia" w:ascii="仿宋_GB2312" w:hAnsi="仿宋_GB2312" w:eastAsia="仿宋_GB2312" w:cs="仿宋_GB2312"/>
          <w:bCs/>
          <w:color w:val="000000"/>
          <w:sz w:val="32"/>
          <w:szCs w:val="32"/>
        </w:rPr>
        <w:t>乡镇对村公示结果复核，剔除名录外、瞒报、谎报面积，形成《乡镇承包地、林草地确权初审表》，签字盖章上报县区；核发取水许可证的企业、公共供水管网内年用水量超过1万立方米的用水大户的用水量分别由县区水务、工信、住建部门和张掖经开区公示企业名称、产品、规模、水源、取水许可量等信息，并留存影像、签字、异议记录等。存在异议的由县区核查审定。</w:t>
      </w:r>
    </w:p>
    <w:p>
      <w:pPr>
        <w:spacing w:line="574" w:lineRule="exact"/>
        <w:ind w:firstLine="709" w:firstLineChars="221"/>
        <w:rPr>
          <w:rFonts w:hint="eastAsia" w:ascii="楷体_GB2312" w:hAnsi="仿宋_GB2312" w:eastAsia="楷体_GB2312" w:cs="仿宋_GB2312"/>
          <w:b/>
          <w:bCs/>
          <w:color w:val="000000"/>
          <w:sz w:val="32"/>
          <w:szCs w:val="32"/>
        </w:rPr>
      </w:pPr>
      <w:r>
        <w:rPr>
          <w:rFonts w:hint="eastAsia" w:ascii="楷体_GB2312" w:hAnsi="仿宋_GB2312" w:eastAsia="楷体_GB2312" w:cs="仿宋_GB2312"/>
          <w:b/>
          <w:bCs/>
          <w:color w:val="000000"/>
          <w:sz w:val="32"/>
          <w:szCs w:val="32"/>
        </w:rPr>
        <w:t>（二）全面实施阶段</w:t>
      </w:r>
      <w:r>
        <w:rPr>
          <w:rFonts w:hint="eastAsia" w:ascii="楷体_GB2312" w:hAnsi="仿宋_GB2312" w:eastAsia="楷体_GB2312" w:cs="仿宋_GB2312"/>
          <w:b/>
          <w:bCs/>
          <w:color w:val="000000"/>
          <w:sz w:val="28"/>
          <w:szCs w:val="28"/>
        </w:rPr>
        <w:t>（2026年12月底前）</w:t>
      </w:r>
    </w:p>
    <w:p>
      <w:pPr>
        <w:spacing w:line="574" w:lineRule="exact"/>
        <w:ind w:firstLine="709" w:firstLineChars="221"/>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1.县级核定</w:t>
      </w:r>
      <w:bookmarkStart w:id="2" w:name="OLE_LINK14"/>
      <w:bookmarkStart w:id="3" w:name="OLE_LINK13"/>
      <w:r>
        <w:rPr>
          <w:rFonts w:hint="eastAsia" w:ascii="仿宋_GB2312" w:hAnsi="仿宋_GB2312" w:eastAsia="仿宋_GB2312" w:cs="仿宋_GB2312"/>
          <w:bCs/>
          <w:color w:val="000000"/>
          <w:sz w:val="32"/>
          <w:szCs w:val="32"/>
        </w:rPr>
        <w:t>。灌溉用水户水权由县区水务、农业农村、自然资源、林草等部门</w:t>
      </w:r>
      <w:bookmarkEnd w:id="2"/>
      <w:bookmarkEnd w:id="3"/>
      <w:r>
        <w:rPr>
          <w:rFonts w:hint="eastAsia" w:ascii="仿宋_GB2312" w:hAnsi="仿宋_GB2312" w:eastAsia="仿宋_GB2312" w:cs="仿宋_GB2312"/>
          <w:bCs/>
          <w:color w:val="000000"/>
          <w:sz w:val="32"/>
          <w:szCs w:val="32"/>
        </w:rPr>
        <w:t>和乡镇核定，对照二轮延包地总基数、林草地面积，确保各乡镇、各村确权面积准确无误，形成《县区承包地、林草地水权确权台账》，上报市水务、农业农村、自然资源、林草等部门终审；</w:t>
      </w:r>
      <w:r>
        <w:rPr>
          <w:rFonts w:hint="eastAsia" w:ascii="仿宋_GB2312" w:hAnsi="仿宋_GB2312" w:eastAsia="仿宋_GB2312" w:cs="仿宋_GB2312"/>
          <w:color w:val="000000"/>
          <w:sz w:val="32"/>
          <w:szCs w:val="32"/>
        </w:rPr>
        <w:t>已核发取水许可证的取用水户、</w:t>
      </w:r>
      <w:r>
        <w:rPr>
          <w:rFonts w:hint="eastAsia" w:ascii="仿宋_GB2312" w:hAnsi="仿宋_GB2312" w:eastAsia="仿宋_GB2312" w:cs="仿宋_GB2312"/>
          <w:bCs/>
          <w:color w:val="000000"/>
          <w:sz w:val="32"/>
          <w:szCs w:val="32"/>
        </w:rPr>
        <w:t>公共供水管网内的用水大户水权由县区相关行业主管部门会同水务部门核定后报市级对应部门终审。张掖经开区用水户水权由甘州区核定后报市级对应部门终审。</w:t>
      </w:r>
    </w:p>
    <w:p>
      <w:pPr>
        <w:spacing w:line="574" w:lineRule="exact"/>
        <w:ind w:firstLine="709" w:firstLineChars="221"/>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2.市级复核</w:t>
      </w:r>
      <w:r>
        <w:rPr>
          <w:rFonts w:hint="eastAsia" w:ascii="仿宋_GB2312" w:hAnsi="仿宋_GB2312" w:eastAsia="仿宋_GB2312" w:cs="仿宋_GB2312"/>
          <w:bCs/>
          <w:color w:val="000000"/>
          <w:sz w:val="32"/>
          <w:szCs w:val="32"/>
        </w:rPr>
        <w:t>。市级行业主管部门对县区台账进行终审，对超许可、超定额、违规确权的一律退回，限期整改。终审通过后，锁定最终确权面积、水权额度。</w:t>
      </w:r>
    </w:p>
    <w:p>
      <w:pPr>
        <w:spacing w:line="574" w:lineRule="exact"/>
        <w:ind w:firstLine="709" w:firstLineChars="221"/>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3.发证建档</w:t>
      </w:r>
      <w:r>
        <w:rPr>
          <w:rFonts w:hint="eastAsia" w:ascii="仿宋_GB2312" w:hAnsi="仿宋_GB2312" w:eastAsia="仿宋_GB2312" w:cs="仿宋_GB2312"/>
          <w:bCs/>
          <w:color w:val="000000"/>
          <w:sz w:val="32"/>
          <w:szCs w:val="32"/>
        </w:rPr>
        <w:t>。各县区发放统一制式《水权证》，载明权利人、确权面积、水源类型、年度水权额度、有效期等基础信息，一户一证、一企一证、一主体一证，建立纸质+电子台账，永久存档、动态更新。</w:t>
      </w:r>
    </w:p>
    <w:p>
      <w:pPr>
        <w:spacing w:line="574" w:lineRule="exact"/>
        <w:ind w:firstLine="709" w:firstLineChars="221"/>
        <w:rPr>
          <w:rFonts w:ascii="楷体_GB2312" w:hAnsi="仿宋_GB2312" w:eastAsia="楷体_GB2312" w:cs="仿宋_GB2312"/>
          <w:b/>
          <w:bCs/>
          <w:color w:val="000000"/>
          <w:sz w:val="28"/>
          <w:szCs w:val="28"/>
        </w:rPr>
      </w:pPr>
      <w:r>
        <w:rPr>
          <w:rFonts w:hint="eastAsia" w:ascii="楷体_GB2312" w:hAnsi="仿宋_GB2312" w:eastAsia="楷体_GB2312" w:cs="仿宋_GB2312"/>
          <w:b/>
          <w:bCs/>
          <w:color w:val="000000"/>
          <w:sz w:val="32"/>
          <w:szCs w:val="32"/>
        </w:rPr>
        <w:t>（三）巩固提升阶段</w:t>
      </w:r>
      <w:r>
        <w:rPr>
          <w:rFonts w:hint="eastAsia" w:ascii="楷体_GB2312" w:hAnsi="仿宋_GB2312" w:eastAsia="楷体_GB2312" w:cs="仿宋_GB2312"/>
          <w:b/>
          <w:bCs/>
          <w:color w:val="000000"/>
          <w:sz w:val="28"/>
          <w:szCs w:val="28"/>
        </w:rPr>
        <w:t>（2027年12月底前）</w:t>
      </w:r>
    </w:p>
    <w:p>
      <w:pPr>
        <w:spacing w:line="574" w:lineRule="exact"/>
        <w:ind w:firstLine="709" w:firstLineChars="221"/>
        <w:rPr>
          <w:rFonts w:ascii="仿宋_GB2312" w:eastAsia="仿宋_GB2312"/>
          <w:color w:val="000000"/>
          <w:sz w:val="32"/>
          <w:szCs w:val="32"/>
        </w:rPr>
      </w:pPr>
      <w:r>
        <w:rPr>
          <w:rFonts w:hint="eastAsia" w:ascii="仿宋_GB2312" w:eastAsia="仿宋_GB2312"/>
          <w:b/>
          <w:color w:val="000000"/>
          <w:sz w:val="32"/>
          <w:szCs w:val="32"/>
        </w:rPr>
        <w:t>1.制度体系全面健全。</w:t>
      </w:r>
      <w:r>
        <w:rPr>
          <w:rFonts w:hint="eastAsia" w:ascii="仿宋_GB2312" w:eastAsia="仿宋_GB2312"/>
          <w:color w:val="000000"/>
          <w:sz w:val="32"/>
          <w:szCs w:val="32"/>
        </w:rPr>
        <w:t>进一步修订完善水权改革各项配套制度，建立健全归属清晰、权责明确、流转顺畅、监管有效的用水权制度体系。</w:t>
      </w:r>
    </w:p>
    <w:p>
      <w:pPr>
        <w:spacing w:line="574" w:lineRule="exact"/>
        <w:ind w:firstLine="709" w:firstLineChars="221"/>
        <w:rPr>
          <w:rFonts w:ascii="仿宋_GB2312" w:eastAsia="仿宋_GB2312"/>
          <w:color w:val="000000"/>
          <w:sz w:val="32"/>
          <w:szCs w:val="32"/>
        </w:rPr>
      </w:pPr>
      <w:r>
        <w:rPr>
          <w:rFonts w:hint="eastAsia" w:ascii="仿宋_GB2312" w:eastAsia="仿宋_GB2312"/>
          <w:b/>
          <w:color w:val="000000"/>
          <w:sz w:val="32"/>
          <w:szCs w:val="32"/>
        </w:rPr>
        <w:t>2.水权交易常态化运行。</w:t>
      </w:r>
      <w:r>
        <w:rPr>
          <w:rFonts w:hint="eastAsia" w:ascii="仿宋_GB2312" w:eastAsia="仿宋_GB2312"/>
          <w:color w:val="000000"/>
          <w:sz w:val="32"/>
          <w:szCs w:val="32"/>
        </w:rPr>
        <w:t>水权交易成为市县区解决新增用水需求的常态化手段，市场活力持续增强。</w:t>
      </w:r>
    </w:p>
    <w:p>
      <w:pPr>
        <w:spacing w:line="574" w:lineRule="exact"/>
        <w:ind w:firstLine="709" w:firstLineChars="221"/>
        <w:rPr>
          <w:rFonts w:hint="eastAsia" w:ascii="仿宋_GB2312" w:hAnsi="仿宋_GB2312" w:eastAsia="仿宋_GB2312" w:cs="仿宋_GB2312"/>
          <w:bCs/>
          <w:color w:val="000000"/>
          <w:sz w:val="32"/>
          <w:szCs w:val="32"/>
          <w:shd w:val="clear" w:color="auto" w:fill="FFFFFF"/>
        </w:rPr>
      </w:pPr>
      <w:r>
        <w:rPr>
          <w:rFonts w:hint="eastAsia" w:ascii="仿宋_GB2312" w:eastAsia="仿宋_GB2312"/>
          <w:b/>
          <w:color w:val="000000"/>
          <w:sz w:val="32"/>
          <w:szCs w:val="32"/>
        </w:rPr>
        <w:t>3.深化改革创新。</w:t>
      </w:r>
      <w:r>
        <w:rPr>
          <w:rFonts w:hint="eastAsia" w:ascii="仿宋_GB2312" w:eastAsia="仿宋_GB2312"/>
          <w:color w:val="000000"/>
          <w:sz w:val="32"/>
          <w:szCs w:val="32"/>
        </w:rPr>
        <w:t>持续深化水权改革与农业水价综合改革协同推进，实施差别化水价政策。积极推进合同节水管理，拓展水权抵（质）押融资覆盖面，促进水资源向“水资产”高效转化。</w:t>
      </w:r>
    </w:p>
    <w:p>
      <w:pPr>
        <w:spacing w:line="574" w:lineRule="exact"/>
        <w:ind w:firstLine="707" w:firstLineChars="221"/>
        <w:rPr>
          <w:rFonts w:hint="eastAsia" w:ascii="黑体" w:hAnsi="黑体" w:eastAsia="黑体"/>
          <w:color w:val="000000"/>
          <w:sz w:val="32"/>
          <w:szCs w:val="32"/>
        </w:rPr>
      </w:pPr>
      <w:r>
        <w:rPr>
          <w:rFonts w:hint="eastAsia" w:ascii="黑体" w:hAnsi="黑体" w:eastAsia="黑体"/>
          <w:color w:val="000000"/>
          <w:sz w:val="32"/>
          <w:szCs w:val="32"/>
        </w:rPr>
        <w:t>四、工作要求</w:t>
      </w:r>
    </w:p>
    <w:p>
      <w:pPr>
        <w:spacing w:line="574" w:lineRule="exact"/>
        <w:ind w:firstLine="709" w:firstLineChars="221"/>
        <w:rPr>
          <w:rFonts w:hint="eastAsia" w:ascii="仿宋_GB2312" w:eastAsia="仿宋_GB2312"/>
          <w:color w:val="000000"/>
          <w:sz w:val="32"/>
          <w:szCs w:val="32"/>
        </w:rPr>
      </w:pPr>
      <w:r>
        <w:rPr>
          <w:rFonts w:hint="eastAsia" w:ascii="楷体_GB2312" w:eastAsia="楷体_GB2312"/>
          <w:b/>
          <w:color w:val="000000"/>
          <w:sz w:val="32"/>
          <w:szCs w:val="32"/>
        </w:rPr>
        <w:t>（一）强化组织领导。</w:t>
      </w:r>
      <w:r>
        <w:rPr>
          <w:rFonts w:hint="eastAsia" w:ascii="仿宋_GB2312" w:eastAsia="仿宋_GB2312"/>
          <w:color w:val="000000"/>
          <w:sz w:val="32"/>
          <w:szCs w:val="32"/>
        </w:rPr>
        <w:t>成立市水权改革工作专班，统筹推进全市水权改革工作。各县区、各部门要深刻认识水权改革的重要性、紧迫性，严格落实主体责任，切实把推进水权改革作为落实水资源刚性约束制度的重要任务，政府主导，部门协同，全力落实各项重点任务。</w:t>
      </w:r>
    </w:p>
    <w:p>
      <w:pPr>
        <w:spacing w:line="574" w:lineRule="exact"/>
        <w:ind w:firstLine="709" w:firstLineChars="221"/>
        <w:rPr>
          <w:rFonts w:hint="eastAsia" w:ascii="仿宋_GB2312" w:eastAsia="仿宋_GB2312"/>
          <w:color w:val="000000"/>
          <w:sz w:val="32"/>
          <w:szCs w:val="32"/>
        </w:rPr>
      </w:pPr>
      <w:r>
        <w:rPr>
          <w:rFonts w:hint="eastAsia" w:ascii="楷体_GB2312" w:eastAsia="楷体_GB2312"/>
          <w:b/>
          <w:color w:val="000000"/>
          <w:sz w:val="32"/>
          <w:szCs w:val="32"/>
        </w:rPr>
        <w:t>（二）强化工作协同。</w:t>
      </w:r>
      <w:r>
        <w:rPr>
          <w:rFonts w:hint="eastAsia" w:ascii="仿宋_GB2312" w:eastAsia="仿宋_GB2312"/>
          <w:color w:val="000000"/>
          <w:sz w:val="32"/>
          <w:szCs w:val="32"/>
        </w:rPr>
        <w:t>市级行业主管部门要强化工作协同，加强对县区水权改革工作的指导。各县区要主动作为，细化任务，专班推进，确保水权改革工作取得实效。</w:t>
      </w:r>
    </w:p>
    <w:p>
      <w:pPr>
        <w:spacing w:line="574" w:lineRule="exact"/>
        <w:ind w:firstLine="709" w:firstLineChars="221"/>
        <w:rPr>
          <w:rFonts w:hint="eastAsia" w:ascii="仿宋_GB2312" w:eastAsia="仿宋_GB2312"/>
          <w:color w:val="000000"/>
          <w:sz w:val="32"/>
          <w:szCs w:val="32"/>
        </w:rPr>
      </w:pPr>
      <w:r>
        <w:rPr>
          <w:rFonts w:hint="eastAsia" w:ascii="楷体_GB2312" w:eastAsia="楷体_GB2312"/>
          <w:b/>
          <w:color w:val="000000"/>
          <w:sz w:val="32"/>
          <w:szCs w:val="32"/>
        </w:rPr>
        <w:t>（三）加大宣传引导。</w:t>
      </w:r>
      <w:r>
        <w:rPr>
          <w:rFonts w:hint="eastAsia" w:ascii="仿宋_GB2312" w:eastAsia="仿宋_GB2312"/>
          <w:color w:val="000000"/>
          <w:sz w:val="32"/>
          <w:szCs w:val="32"/>
        </w:rPr>
        <w:t>各县区要多渠道宣传改革政策，及时公开水权改革有关信息，总结推广水权改革经验做法，充分调动用水户支持参与水权改革的积极性，营造推进水权改革的良好氛围。</w:t>
      </w:r>
    </w:p>
    <w:p>
      <w:pPr>
        <w:spacing w:line="574" w:lineRule="exact"/>
        <w:ind w:firstLine="709" w:firstLineChars="221"/>
        <w:rPr>
          <w:rFonts w:hint="eastAsia" w:ascii="仿宋_GB2312" w:eastAsia="仿宋_GB2312"/>
          <w:color w:val="000000"/>
          <w:sz w:val="32"/>
          <w:szCs w:val="32"/>
        </w:rPr>
      </w:pPr>
      <w:r>
        <w:rPr>
          <w:rFonts w:hint="eastAsia" w:ascii="楷体_GB2312" w:eastAsia="楷体_GB2312"/>
          <w:b/>
          <w:color w:val="000000"/>
          <w:sz w:val="32"/>
          <w:szCs w:val="32"/>
        </w:rPr>
        <w:t>（四）严格纪律监督。</w:t>
      </w:r>
      <w:r>
        <w:rPr>
          <w:rFonts w:hint="eastAsia" w:ascii="仿宋_GB2312" w:eastAsia="仿宋_GB2312"/>
          <w:color w:val="000000"/>
          <w:sz w:val="32"/>
          <w:szCs w:val="32"/>
        </w:rPr>
        <w:t>建立健全水权改革督查考核机制，将水权改革任务完成情况纳入县区和相关部门落实水资源刚性约束制度的年度考核体系。强化跟踪问效，对推进水权改革工作不力、进展缓慢的县区进行通报约谈。对水权改革中发现的违法违规违纪问题，限期整改落实</w:t>
      </w:r>
      <w:r>
        <w:rPr>
          <w:rFonts w:hint="eastAsia" w:ascii="仿宋_GB2312" w:hAnsi="宋体" w:eastAsia="仿宋_GB2312" w:cs="宋体"/>
          <w:color w:val="000000"/>
          <w:kern w:val="0"/>
          <w:sz w:val="32"/>
          <w:szCs w:val="32"/>
        </w:rPr>
        <w:t>、</w:t>
      </w:r>
      <w:r>
        <w:rPr>
          <w:rFonts w:hint="eastAsia" w:ascii="仿宋_GB2312" w:eastAsia="仿宋_GB2312"/>
          <w:color w:val="000000"/>
          <w:sz w:val="32"/>
          <w:szCs w:val="32"/>
        </w:rPr>
        <w:t>严肃追责问责。</w:t>
      </w:r>
    </w:p>
    <w:p>
      <w:pPr>
        <w:spacing w:line="574" w:lineRule="exact"/>
        <w:ind w:firstLine="640" w:firstLineChars="200"/>
        <w:rPr>
          <w:rFonts w:hint="eastAsia" w:ascii="仿宋_GB2312" w:hAnsi="仿宋_GB2312" w:eastAsia="仿宋_GB2312" w:cs="仿宋_GB2312"/>
          <w:color w:val="000000"/>
          <w:sz w:val="32"/>
          <w:szCs w:val="32"/>
        </w:rPr>
      </w:pPr>
    </w:p>
    <w:p>
      <w:pPr>
        <w:spacing w:line="574"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附件：1.</w:t>
      </w:r>
      <w:r>
        <w:rPr>
          <w:rFonts w:ascii="仿宋_GB2312" w:hAnsi="仿宋_GB2312" w:eastAsia="仿宋_GB2312" w:cs="仿宋_GB2312"/>
          <w:color w:val="000000"/>
          <w:sz w:val="32"/>
          <w:szCs w:val="32"/>
        </w:rPr>
        <w:t>张掖市水权改革工作专班</w:t>
      </w:r>
    </w:p>
    <w:p>
      <w:pPr>
        <w:spacing w:line="57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2.需制定修订的水权改革相关制度</w:t>
      </w:r>
    </w:p>
    <w:p>
      <w:pPr>
        <w:spacing w:line="574" w:lineRule="exact"/>
        <w:ind w:firstLine="160" w:firstLineChars="50"/>
        <w:rPr>
          <w:rFonts w:ascii="黑体" w:hAnsi="黑体" w:eastAsia="黑体" w:cs="仿宋_GB2312"/>
          <w:color w:val="000000"/>
          <w:sz w:val="32"/>
          <w:szCs w:val="32"/>
        </w:rPr>
      </w:pPr>
      <w:r>
        <w:rPr>
          <w:rFonts w:hint="eastAsia" w:ascii="黑体" w:hAnsi="黑体" w:eastAsia="黑体" w:cs="仿宋_GB2312"/>
          <w:color w:val="000000"/>
          <w:sz w:val="32"/>
          <w:szCs w:val="32"/>
        </w:rPr>
        <w:t>附件1</w:t>
      </w:r>
    </w:p>
    <w:p>
      <w:pPr>
        <w:spacing w:line="574"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张掖市水权改革工作专班</w:t>
      </w:r>
    </w:p>
    <w:p>
      <w:pPr>
        <w:spacing w:line="574" w:lineRule="exact"/>
        <w:rPr>
          <w:color w:val="000000"/>
          <w:sz w:val="18"/>
          <w:szCs w:val="18"/>
        </w:rPr>
      </w:pPr>
    </w:p>
    <w:p>
      <w:pPr>
        <w:spacing w:line="574"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为确保全市水权改革工作目标任务落实，成立张掖市水权改革工作专班，组成人员及工作职责如下。</w:t>
      </w:r>
    </w:p>
    <w:p>
      <w:pPr>
        <w:spacing w:line="574" w:lineRule="exact"/>
        <w:ind w:firstLine="707" w:firstLineChars="221"/>
        <w:rPr>
          <w:rFonts w:hint="eastAsia" w:ascii="仿宋_GB2312" w:hAnsi="仿宋_GB2312" w:eastAsia="仿宋_GB2312" w:cs="仿宋_GB2312"/>
          <w:color w:val="000000"/>
          <w:sz w:val="32"/>
          <w:szCs w:val="32"/>
        </w:rPr>
      </w:pPr>
      <w:r>
        <w:rPr>
          <w:rFonts w:hint="eastAsia" w:ascii="黑体" w:hAnsi="黑体" w:eastAsia="黑体" w:cs="仿宋_GB2312"/>
          <w:color w:val="000000"/>
          <w:sz w:val="32"/>
          <w:szCs w:val="32"/>
        </w:rPr>
        <w:t>组  长：</w:t>
      </w:r>
      <w:r>
        <w:rPr>
          <w:rFonts w:hint="eastAsia" w:ascii="仿宋_GB2312" w:hAnsi="仿宋_GB2312" w:eastAsia="仿宋_GB2312" w:cs="仿宋_GB2312"/>
          <w:color w:val="000000"/>
          <w:sz w:val="32"/>
          <w:szCs w:val="32"/>
        </w:rPr>
        <w:t>李泽文  市委副书记</w:t>
      </w:r>
    </w:p>
    <w:p>
      <w:pPr>
        <w:spacing w:line="574" w:lineRule="exact"/>
        <w:ind w:firstLine="707" w:firstLineChars="221"/>
        <w:rPr>
          <w:rFonts w:hint="eastAsia" w:ascii="仿宋_GB2312" w:hAnsi="仿宋_GB2312" w:eastAsia="仿宋_GB2312" w:cs="仿宋_GB2312"/>
          <w:color w:val="000000"/>
          <w:sz w:val="32"/>
          <w:szCs w:val="32"/>
        </w:rPr>
      </w:pPr>
      <w:r>
        <w:rPr>
          <w:rFonts w:hint="eastAsia" w:ascii="黑体" w:hAnsi="黑体" w:eastAsia="黑体" w:cs="仿宋_GB2312"/>
          <w:color w:val="000000"/>
          <w:sz w:val="32"/>
          <w:szCs w:val="32"/>
        </w:rPr>
        <w:t>副组长：</w:t>
      </w:r>
      <w:r>
        <w:rPr>
          <w:rFonts w:hint="eastAsia" w:ascii="仿宋_GB2312" w:hAnsi="仿宋_GB2312" w:eastAsia="仿宋_GB2312" w:cs="仿宋_GB2312"/>
          <w:color w:val="000000"/>
          <w:sz w:val="32"/>
          <w:szCs w:val="32"/>
        </w:rPr>
        <w:t>景国诚  市委常委、市纪委书记、市监委主任</w:t>
      </w:r>
    </w:p>
    <w:p>
      <w:pPr>
        <w:spacing w:line="574" w:lineRule="exact"/>
        <w:ind w:firstLine="1984" w:firstLineChars="62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王韶华  </w:t>
      </w:r>
      <w:r>
        <w:rPr>
          <w:rFonts w:ascii="仿宋_GB2312" w:hAnsi="仿宋_GB2312" w:eastAsia="仿宋_GB2312" w:cs="仿宋_GB2312"/>
          <w:color w:val="000000"/>
          <w:sz w:val="32"/>
          <w:szCs w:val="32"/>
        </w:rPr>
        <w:t>市委常委、副市长，市委宣传部部长</w:t>
      </w:r>
    </w:p>
    <w:p>
      <w:pPr>
        <w:spacing w:line="574" w:lineRule="exact"/>
        <w:ind w:firstLine="707" w:firstLineChars="221"/>
        <w:rPr>
          <w:rFonts w:ascii="仿宋_GB2312" w:hAnsi="仿宋_GB2312" w:eastAsia="仿宋_GB2312" w:cs="仿宋_GB2312"/>
          <w:color w:val="000000"/>
          <w:sz w:val="32"/>
          <w:szCs w:val="32"/>
        </w:rPr>
      </w:pPr>
      <w:r>
        <w:rPr>
          <w:rFonts w:hint="eastAsia" w:ascii="黑体" w:hAnsi="黑体" w:eastAsia="黑体" w:cs="仿宋_GB2312"/>
          <w:color w:val="000000"/>
          <w:sz w:val="32"/>
          <w:szCs w:val="32"/>
        </w:rPr>
        <w:t>成  员：</w:t>
      </w:r>
      <w:r>
        <w:rPr>
          <w:rFonts w:hint="eastAsia" w:ascii="仿宋_GB2312" w:hAnsi="仿宋_GB2312" w:eastAsia="仿宋_GB2312" w:cs="仿宋_GB2312"/>
          <w:color w:val="000000"/>
          <w:sz w:val="32"/>
          <w:szCs w:val="32"/>
        </w:rPr>
        <w:t>韩世彦  市委组织部常务副部长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蒋立伟  市委宣传部常务副部长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徐殿鹏  市委政法委常务副书记</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王  强  市纪委副书记、市监委副主任</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陈天佑  市委宣传部副部长、市委网信办主任</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刘  莹  市信访局党组书记、局长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韩建军  市水务局党组书记、局长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土建雄  市农业农村局党组书记、局长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武俊喜  市自然资源局党组书记、局长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白怀国  市发展改革委党组书记、主任</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田继新  市财政局党组书记、局长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陈  贤  市工信局党组书记、局长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徐  晓  市住建局党组书记、局长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顾  华  市生态环境局党组书记、局长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苗  东  市林草局党组书记、局长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吴三银  市畜牧兽医局党组书记、局长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毛  雄  市公安局党委副书记、常务副局长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刘德贵  市公共资源交易中心党组书记、主任</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李学庆  国网张掖供电公司党委副书记、总经理</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张  勇  甘州区委副书记、区长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张学基  张掖经开区党工委副书记、管委会主任</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秦  楠  临泽县委副书记、县长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武汉章  高台县委副书记、县长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黄国杰  山丹县委副书记、县长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张晓龙  民乐县委副书记、县长</w:t>
      </w:r>
    </w:p>
    <w:p>
      <w:pPr>
        <w:spacing w:line="574" w:lineRule="exact"/>
        <w:ind w:firstLine="1984" w:firstLineChars="62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钟向辉  肃南县委副书记、县长</w:t>
      </w:r>
    </w:p>
    <w:p>
      <w:pPr>
        <w:spacing w:line="574"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工作专班负责统筹协调《张掖市水权改革工作方案》目标任务落实，研究解决推进水权改革重要事宜。专班在市水务局设办公室，韩建军同志任办公室主任，武俊喜、土建雄同志兼任办公室副主任。办公室具体承担日常工作，协调各县区、相关部门开展水权改革任务，解决具体问题，督促落实各项工作。</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市纪委监委：</w:t>
      </w:r>
      <w:r>
        <w:rPr>
          <w:rFonts w:hint="eastAsia" w:ascii="仿宋_GB2312" w:hAnsi="仿宋_GB2312" w:eastAsia="仿宋_GB2312" w:cs="仿宋_GB2312"/>
          <w:color w:val="000000"/>
          <w:sz w:val="32"/>
          <w:szCs w:val="32"/>
        </w:rPr>
        <w:t>负责水权改革工作监督问责工作。将水权改革任务纳入纪检监察重点监督事项，适时组织开展监督检查；对水权改革中发现的违纪违法问题，依规依纪依法严肃查处。</w:t>
      </w:r>
    </w:p>
    <w:p>
      <w:pPr>
        <w:spacing w:line="574" w:lineRule="exact"/>
        <w:ind w:firstLine="642" w:firstLineChars="200"/>
        <w:rPr>
          <w:rFonts w:ascii="仿宋_GB2312" w:hAnsi="仿宋_GB2312" w:eastAsia="仿宋_GB2312" w:cs="仿宋_GB2312"/>
          <w:color w:val="000000"/>
          <w:sz w:val="32"/>
          <w:szCs w:val="32"/>
        </w:rPr>
      </w:pPr>
      <w:r>
        <w:rPr>
          <w:rFonts w:ascii="仿宋_GB2312" w:hAnsi="仿宋_GB2312" w:eastAsia="仿宋_GB2312" w:cs="仿宋_GB2312"/>
          <w:b/>
          <w:color w:val="000000"/>
          <w:sz w:val="32"/>
          <w:szCs w:val="32"/>
        </w:rPr>
        <w:t>市委宣传部</w:t>
      </w:r>
      <w:r>
        <w:rPr>
          <w:rFonts w:hint="eastAsia" w:ascii="仿宋_GB2312" w:hAnsi="仿宋_GB2312" w:eastAsia="仿宋_GB2312" w:cs="仿宋_GB2312"/>
          <w:b/>
          <w:color w:val="000000"/>
          <w:sz w:val="32"/>
          <w:szCs w:val="32"/>
        </w:rPr>
        <w:t>：</w:t>
      </w:r>
      <w:r>
        <w:rPr>
          <w:rFonts w:ascii="仿宋_GB2312" w:hAnsi="仿宋_GB2312" w:eastAsia="仿宋_GB2312" w:cs="仿宋_GB2312"/>
          <w:color w:val="000000"/>
          <w:sz w:val="32"/>
          <w:szCs w:val="32"/>
        </w:rPr>
        <w:t>负责将水权改革宣传纳入全市宣传思想重点工作，协调新闻媒体和社会宣传载体广泛传播水权政策与节水知识；做好敏感问题舆情监测与引导；推动</w:t>
      </w:r>
      <w:r>
        <w:rPr>
          <w:rFonts w:hint="eastAsia" w:ascii="仿宋_GB2312" w:hAnsi="仿宋_GB2312" w:eastAsia="仿宋_GB2312" w:cs="仿宋_GB2312"/>
          <w:color w:val="000000"/>
          <w:sz w:val="32"/>
          <w:szCs w:val="32"/>
        </w:rPr>
        <w:t>水权改革政策宣传</w:t>
      </w:r>
      <w:r>
        <w:rPr>
          <w:rFonts w:ascii="仿宋_GB2312" w:hAnsi="仿宋_GB2312" w:eastAsia="仿宋_GB2312" w:cs="仿宋_GB2312"/>
          <w:color w:val="000000"/>
          <w:sz w:val="32"/>
          <w:szCs w:val="32"/>
        </w:rPr>
        <w:t>进机关、进</w:t>
      </w:r>
      <w:r>
        <w:rPr>
          <w:rFonts w:hint="eastAsia" w:ascii="仿宋_GB2312" w:hAnsi="仿宋_GB2312" w:eastAsia="仿宋_GB2312" w:cs="仿宋_GB2312"/>
          <w:color w:val="000000"/>
          <w:sz w:val="32"/>
          <w:szCs w:val="32"/>
        </w:rPr>
        <w:t>企业</w:t>
      </w:r>
      <w:r>
        <w:rPr>
          <w:rFonts w:ascii="仿宋_GB2312" w:hAnsi="仿宋_GB2312" w:eastAsia="仿宋_GB2312" w:cs="仿宋_GB2312"/>
          <w:color w:val="000000"/>
          <w:sz w:val="32"/>
          <w:szCs w:val="32"/>
        </w:rPr>
        <w:t>、进农村，形成全社会支持水权改革的良好氛围</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为水权改革提供坚强的思想保证、舆论支持和文化条件。</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市水务局：</w:t>
      </w:r>
      <w:r>
        <w:rPr>
          <w:rFonts w:hint="eastAsia" w:ascii="仿宋_GB2312" w:hAnsi="仿宋_GB2312" w:eastAsia="仿宋_GB2312" w:cs="仿宋_GB2312"/>
          <w:color w:val="000000"/>
          <w:sz w:val="32"/>
          <w:szCs w:val="32"/>
        </w:rPr>
        <w:t>负责水权改革具体工作任务的组织实施。组织开展用水权初始分配和确权重置工作；制定完善《张掖市水权交易管理制度》等配套制度；推进区域水权、取水权、灌溉用水户水权交易，与公共资源交易中心对接，通过</w:t>
      </w:r>
      <w:r>
        <w:rPr>
          <w:rFonts w:hint="eastAsia" w:ascii="仿宋_GB2312" w:eastAsia="仿宋_GB2312"/>
          <w:color w:val="000000"/>
          <w:sz w:val="32"/>
          <w:szCs w:val="32"/>
        </w:rPr>
        <w:t>公共资源交易平台开展水权交易。</w:t>
      </w:r>
      <w:r>
        <w:rPr>
          <w:rFonts w:hint="eastAsia" w:ascii="仿宋_GB2312" w:hAnsi="仿宋_GB2312" w:eastAsia="仿宋_GB2312" w:cs="仿宋_GB2312"/>
          <w:color w:val="000000"/>
          <w:sz w:val="32"/>
          <w:szCs w:val="32"/>
        </w:rPr>
        <w:t>加强水权交易全流程监管，严格交易双方水权合法性、取水方式、水量及用途等要素审核；指导各县区开展水权改革工作。</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市农业农村局</w:t>
      </w:r>
      <w:r>
        <w:rPr>
          <w:rFonts w:hint="eastAsia" w:ascii="仿宋_GB2312" w:hAnsi="仿宋_GB2312" w:eastAsia="仿宋_GB2312" w:cs="仿宋_GB2312"/>
          <w:color w:val="000000"/>
          <w:sz w:val="32"/>
          <w:szCs w:val="32"/>
        </w:rPr>
        <w:t>：负责组织调查摸底二轮延包地面积及高标准农田建设情况，将面积落实到乡镇、村社、用水户。协同推进农业领域水权改革。配合水务部门开展灌溉用水户水权确权；推进高标准农田建设与高效节水灌溉，配合水务部门将节约水量纳入水权交易和政府收储范围；推广节水农业技术，推动种植结构调整，引导水资源向高效益作物和产业流转。</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市自然资源局：</w:t>
      </w:r>
      <w:r>
        <w:rPr>
          <w:rFonts w:hint="eastAsia" w:ascii="仿宋_GB2312" w:hAnsi="仿宋_GB2312" w:eastAsia="仿宋_GB2312" w:cs="仿宋_GB2312"/>
          <w:color w:val="000000"/>
          <w:sz w:val="32"/>
          <w:szCs w:val="32"/>
        </w:rPr>
        <w:t>负责在国土空间规划中落实“四水四定”要求，做好水权改革涉及的土地资源保障和空间规划衔接。协同完成水资源调查和区域可用水量确定工作，开展水资源确权登记相关工作。</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市委网信办：</w:t>
      </w:r>
      <w:r>
        <w:rPr>
          <w:rFonts w:hint="eastAsia" w:ascii="仿宋_GB2312" w:hAnsi="仿宋_GB2312" w:eastAsia="仿宋_GB2312" w:cs="仿宋_GB2312"/>
          <w:color w:val="000000"/>
          <w:sz w:val="32"/>
          <w:szCs w:val="32"/>
        </w:rPr>
        <w:t>负责水权改革的网络舆情监测与引导。密切关注涉及水权改革、水资源管理的各类网络舆情动态，及时发现和研判苗头性、倾向性问题；做好水权改革相关政策的网络宣传引导，主动设置议题，传播改革正面声音；配合有关部门妥善处置涉水网络谣言和不实信息，维护清朗网络空间，为水权改革营造良好网络舆论环境。</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市信访局：</w:t>
      </w:r>
      <w:r>
        <w:rPr>
          <w:rFonts w:hint="eastAsia" w:ascii="仿宋_GB2312" w:hAnsi="仿宋_GB2312" w:eastAsia="仿宋_GB2312" w:cs="仿宋_GB2312"/>
          <w:color w:val="000000"/>
          <w:sz w:val="32"/>
          <w:szCs w:val="32"/>
        </w:rPr>
        <w:t>负责涉水权改革信访事项的受理、转送、交办、督办。畅通涉水权改革信访渠道，及时受理群众关于水权分配、水权交易、用水权益等方面的诉求和意见建议；建立健全涉水信访联动处理机制，协同水务、农业农村等部门分类施策、依法化解矛盾；加强对涉水信访问题的分析研判，为完善改革政策提供参考，切实维护用水户合法权益，保障改革平稳有序推进。</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市财政局：</w:t>
      </w:r>
      <w:r>
        <w:rPr>
          <w:rFonts w:hint="eastAsia" w:ascii="仿宋_GB2312" w:hAnsi="仿宋_GB2312" w:eastAsia="仿宋_GB2312" w:cs="仿宋_GB2312"/>
          <w:color w:val="000000"/>
          <w:sz w:val="32"/>
          <w:szCs w:val="32"/>
        </w:rPr>
        <w:t>负责水权改革必要的资金保障，统筹安排水权改革工作经费、交易平台建设运维、第三方评估等必要支出。协同推进“水权贷”金融创新工作，支持节水产业发展。</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市发展改革委：</w:t>
      </w:r>
      <w:r>
        <w:rPr>
          <w:rFonts w:hint="eastAsia" w:ascii="仿宋_GB2312" w:hAnsi="仿宋_GB2312" w:eastAsia="仿宋_GB2312" w:cs="仿宋_GB2312"/>
          <w:color w:val="000000"/>
          <w:sz w:val="32"/>
          <w:szCs w:val="32"/>
        </w:rPr>
        <w:t>负责将水权改革纳入全市国民经济和社会发展规划，</w:t>
      </w:r>
      <w:r>
        <w:rPr>
          <w:rFonts w:hint="eastAsia" w:ascii="仿宋_GB2312" w:eastAsia="仿宋_GB2312"/>
          <w:sz w:val="32"/>
          <w:szCs w:val="32"/>
        </w:rPr>
        <w:t>协同推进用水权改革与水价改革、产业布局优化等工作。</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市工信局：</w:t>
      </w:r>
      <w:r>
        <w:rPr>
          <w:rFonts w:hint="eastAsia" w:ascii="仿宋_GB2312" w:hAnsi="仿宋_GB2312" w:eastAsia="仿宋_GB2312" w:cs="仿宋_GB2312"/>
          <w:color w:val="000000"/>
          <w:sz w:val="32"/>
          <w:szCs w:val="32"/>
        </w:rPr>
        <w:t>负责协同推进工业领域水权改革。协同开展工业用水户取水权确权工作；指导工业园区和企业参与水权交易，引导水资源向高效益工业领域流转。</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市住建局：</w:t>
      </w:r>
      <w:r>
        <w:rPr>
          <w:rFonts w:hint="eastAsia" w:ascii="仿宋_GB2312" w:hAnsi="仿宋_GB2312" w:eastAsia="仿宋_GB2312" w:cs="仿宋_GB2312"/>
          <w:color w:val="000000"/>
          <w:sz w:val="32"/>
          <w:szCs w:val="32"/>
        </w:rPr>
        <w:t>负责协同推进城镇生活领域水权改革。协同开展城市公共供水管网内主要用水户用水权分配工作；协同指导城镇供水企业参与水权确权和交易。</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市生态环境局：</w:t>
      </w:r>
      <w:r>
        <w:rPr>
          <w:rFonts w:hint="eastAsia" w:ascii="仿宋_GB2312" w:hAnsi="仿宋_GB2312" w:eastAsia="仿宋_GB2312" w:cs="仿宋_GB2312"/>
          <w:color w:val="000000"/>
          <w:sz w:val="32"/>
          <w:szCs w:val="32"/>
        </w:rPr>
        <w:t>负责做好水权改革中的生态环境保护衔接工作，参与水权交易中生态用水量的核定和监管。</w:t>
      </w:r>
    </w:p>
    <w:p>
      <w:pPr>
        <w:spacing w:line="574" w:lineRule="exact"/>
        <w:ind w:firstLine="642"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市林草局：</w:t>
      </w:r>
      <w:r>
        <w:rPr>
          <w:rFonts w:hint="eastAsia" w:ascii="仿宋_GB2312" w:hAnsi="仿宋_GB2312" w:eastAsia="仿宋_GB2312" w:cs="仿宋_GB2312"/>
          <w:color w:val="000000"/>
          <w:sz w:val="32"/>
          <w:szCs w:val="32"/>
        </w:rPr>
        <w:t>负责协同推进林草领域用水权管理。配合做好林业和草原灌溉用水权确权工作；参与灌区用水户水权分配，保障生态用水权益。</w:t>
      </w:r>
    </w:p>
    <w:p>
      <w:pPr>
        <w:spacing w:line="574" w:lineRule="exact"/>
        <w:ind w:firstLine="642" w:firstLineChars="200"/>
        <w:rPr>
          <w:rFonts w:ascii="黑体" w:hAnsi="黑体" w:eastAsia="黑体" w:cs="仿宋_GB2312"/>
          <w:color w:val="000000"/>
          <w:sz w:val="32"/>
          <w:szCs w:val="32"/>
        </w:rPr>
      </w:pPr>
      <w:r>
        <w:rPr>
          <w:rFonts w:hint="eastAsia" w:ascii="仿宋_GB2312" w:hAnsi="仿宋_GB2312" w:eastAsia="仿宋_GB2312" w:cs="仿宋_GB2312"/>
          <w:b/>
          <w:color w:val="000000"/>
          <w:sz w:val="32"/>
          <w:szCs w:val="32"/>
        </w:rPr>
        <w:t>市公共资源交易中心：</w:t>
      </w:r>
      <w:r>
        <w:rPr>
          <w:rFonts w:hint="eastAsia" w:ascii="仿宋_GB2312" w:eastAsia="仿宋_GB2312"/>
          <w:color w:val="000000"/>
          <w:sz w:val="32"/>
          <w:szCs w:val="32"/>
        </w:rPr>
        <w:t>负责用水权交易的组织实施和服务，做好公共资源交易用水权电子交易系统的开发建设、日常运维和管理工作；开展用水权交易进场注册登记、申请受理、公告发布、组织交易、成交确认、结果公示等交易活动；发挥现场见证作用，建立紧急纠错机制，妥善保留证据材料，发现违法违规线索，及时转交水行政主管部门处理；配合水行政主管部门调查处理举报、投诉；建立、管理交易过程电子档案。</w:t>
      </w:r>
      <w:r>
        <w:rPr>
          <w:rFonts w:ascii="仿宋_GB2312" w:eastAsia="仿宋_GB2312"/>
          <w:color w:val="000000"/>
          <w:sz w:val="32"/>
          <w:szCs w:val="32"/>
        </w:rPr>
        <w:br w:type="page"/>
      </w:r>
      <w:r>
        <w:rPr>
          <w:rFonts w:hint="eastAsia" w:ascii="黑体" w:hAnsi="黑体" w:eastAsia="黑体" w:cs="仿宋_GB2312"/>
          <w:color w:val="000000"/>
          <w:sz w:val="32"/>
          <w:szCs w:val="32"/>
        </w:rPr>
        <w:t>附件2</w:t>
      </w:r>
    </w:p>
    <w:p>
      <w:pPr>
        <w:spacing w:line="600" w:lineRule="exact"/>
        <w:ind w:firstLine="880" w:firstLineChars="200"/>
        <w:jc w:val="center"/>
        <w:rPr>
          <w:rFonts w:ascii="方正小标宋简体" w:hAnsi="方正小标宋简体" w:eastAsia="方正小标宋简体" w:cs="方正小标宋简体"/>
          <w:color w:val="000000"/>
          <w:sz w:val="44"/>
          <w:szCs w:val="44"/>
        </w:rPr>
      </w:pPr>
    </w:p>
    <w:p>
      <w:pPr>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需制定</w:t>
      </w:r>
      <w:r>
        <w:rPr>
          <w:rFonts w:ascii="方正小标宋简体" w:hAnsi="方正小标宋简体" w:eastAsia="方正小标宋简体" w:cs="方正小标宋简体"/>
          <w:color w:val="000000"/>
          <w:sz w:val="44"/>
          <w:szCs w:val="44"/>
        </w:rPr>
        <w:t>修订的水权改革相关制度</w:t>
      </w:r>
    </w:p>
    <w:p>
      <w:pPr>
        <w:spacing w:line="600" w:lineRule="exact"/>
        <w:ind w:firstLine="880" w:firstLineChars="200"/>
        <w:jc w:val="center"/>
        <w:rPr>
          <w:rFonts w:ascii="方正小标宋简体" w:hAnsi="方正小标宋简体" w:eastAsia="方正小标宋简体" w:cs="方正小标宋简体"/>
          <w:color w:val="000000"/>
          <w:sz w:val="44"/>
          <w:szCs w:val="44"/>
        </w:rPr>
      </w:pPr>
    </w:p>
    <w:tbl>
      <w:tblPr>
        <w:tblStyle w:val="5"/>
        <w:tblW w:w="8755" w:type="dxa"/>
        <w:jc w:val="center"/>
        <w:tblLayout w:type="fixed"/>
        <w:tblCellMar>
          <w:top w:w="0" w:type="dxa"/>
          <w:left w:w="108" w:type="dxa"/>
          <w:bottom w:w="0" w:type="dxa"/>
          <w:right w:w="108" w:type="dxa"/>
        </w:tblCellMar>
      </w:tblPr>
      <w:tblGrid>
        <w:gridCol w:w="637"/>
        <w:gridCol w:w="4111"/>
        <w:gridCol w:w="1276"/>
        <w:gridCol w:w="888"/>
        <w:gridCol w:w="1843"/>
      </w:tblGrid>
      <w:tr>
        <w:tblPrEx>
          <w:tblCellMar>
            <w:top w:w="0" w:type="dxa"/>
            <w:left w:w="108" w:type="dxa"/>
            <w:bottom w:w="0" w:type="dxa"/>
            <w:right w:w="108" w:type="dxa"/>
          </w:tblCellMar>
        </w:tblPrEx>
        <w:trPr>
          <w:wBefore w:w="0" w:type="dxa"/>
          <w:wAfter w:w="0" w:type="dxa"/>
          <w:trHeight w:val="840"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ascii="仿宋_GB2312" w:hAnsi="宋体" w:eastAsia="仿宋_GB2312" w:cs="黑体"/>
                <w:b/>
                <w:color w:val="000000"/>
                <w:sz w:val="28"/>
                <w:szCs w:val="28"/>
              </w:rPr>
            </w:pPr>
            <w:r>
              <w:rPr>
                <w:rFonts w:hint="eastAsia" w:ascii="仿宋_GB2312" w:hAnsi="宋体" w:eastAsia="仿宋_GB2312" w:cs="黑体"/>
                <w:b/>
                <w:color w:val="000000"/>
                <w:kern w:val="0"/>
                <w:sz w:val="28"/>
                <w:szCs w:val="28"/>
              </w:rPr>
              <w:t>序号</w:t>
            </w:r>
          </w:p>
        </w:tc>
        <w:tc>
          <w:tcPr>
            <w:tcW w:w="4111"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ascii="仿宋_GB2312" w:hAnsi="宋体" w:eastAsia="仿宋_GB2312" w:cs="黑体"/>
                <w:b/>
                <w:color w:val="000000"/>
                <w:sz w:val="28"/>
                <w:szCs w:val="28"/>
              </w:rPr>
            </w:pPr>
            <w:r>
              <w:rPr>
                <w:rFonts w:hint="eastAsia" w:ascii="仿宋_GB2312" w:hAnsi="宋体" w:eastAsia="仿宋_GB2312" w:cs="黑体"/>
                <w:b/>
                <w:color w:val="000000"/>
                <w:kern w:val="0"/>
                <w:sz w:val="28"/>
                <w:szCs w:val="28"/>
              </w:rPr>
              <w:t>制度名称</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宋体" w:eastAsia="仿宋_GB2312" w:cs="黑体"/>
                <w:b/>
                <w:color w:val="000000"/>
                <w:kern w:val="0"/>
                <w:sz w:val="28"/>
                <w:szCs w:val="28"/>
              </w:rPr>
            </w:pPr>
            <w:r>
              <w:rPr>
                <w:rFonts w:hint="eastAsia" w:ascii="仿宋_GB2312" w:hAnsi="宋体" w:eastAsia="仿宋_GB2312" w:cs="黑体"/>
                <w:b/>
                <w:color w:val="000000"/>
                <w:kern w:val="0"/>
                <w:sz w:val="28"/>
                <w:szCs w:val="28"/>
              </w:rPr>
              <w:t>状态</w:t>
            </w:r>
          </w:p>
        </w:tc>
        <w:tc>
          <w:tcPr>
            <w:tcW w:w="888"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ascii="仿宋_GB2312" w:hAnsi="宋体" w:eastAsia="仿宋_GB2312" w:cs="黑体"/>
                <w:b/>
                <w:color w:val="000000"/>
                <w:kern w:val="0"/>
                <w:sz w:val="28"/>
                <w:szCs w:val="28"/>
              </w:rPr>
            </w:pPr>
            <w:r>
              <w:rPr>
                <w:rFonts w:hint="eastAsia" w:ascii="仿宋_GB2312" w:hAnsi="宋体" w:eastAsia="仿宋_GB2312" w:cs="黑体"/>
                <w:b/>
                <w:color w:val="000000"/>
                <w:kern w:val="0"/>
                <w:sz w:val="28"/>
                <w:szCs w:val="28"/>
              </w:rPr>
              <w:t>是否</w:t>
            </w:r>
          </w:p>
          <w:p>
            <w:pPr>
              <w:widowControl/>
              <w:spacing w:line="420" w:lineRule="exact"/>
              <w:jc w:val="center"/>
              <w:textAlignment w:val="center"/>
              <w:rPr>
                <w:rFonts w:ascii="仿宋_GB2312" w:hAnsi="宋体" w:eastAsia="仿宋_GB2312" w:cs="黑体"/>
                <w:b/>
                <w:color w:val="000000"/>
                <w:kern w:val="0"/>
                <w:sz w:val="28"/>
                <w:szCs w:val="28"/>
              </w:rPr>
            </w:pPr>
            <w:r>
              <w:rPr>
                <w:rFonts w:hint="eastAsia" w:ascii="仿宋_GB2312" w:hAnsi="宋体" w:eastAsia="仿宋_GB2312" w:cs="黑体"/>
                <w:b/>
                <w:color w:val="000000"/>
                <w:kern w:val="0"/>
                <w:sz w:val="28"/>
                <w:szCs w:val="28"/>
              </w:rPr>
              <w:t>修订</w:t>
            </w:r>
          </w:p>
        </w:tc>
        <w:tc>
          <w:tcPr>
            <w:tcW w:w="1843"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ascii="仿宋_GB2312" w:hAnsi="宋体" w:eastAsia="仿宋_GB2312" w:cs="黑体"/>
                <w:b/>
                <w:color w:val="000000"/>
                <w:sz w:val="28"/>
                <w:szCs w:val="28"/>
              </w:rPr>
            </w:pPr>
            <w:r>
              <w:rPr>
                <w:rFonts w:hint="eastAsia" w:ascii="仿宋_GB2312" w:hAnsi="宋体" w:eastAsia="仿宋_GB2312" w:cs="黑体"/>
                <w:b/>
                <w:color w:val="000000"/>
                <w:kern w:val="0"/>
                <w:sz w:val="28"/>
                <w:szCs w:val="28"/>
              </w:rPr>
              <w:t>时限要求</w:t>
            </w:r>
          </w:p>
        </w:tc>
      </w:tr>
      <w:tr>
        <w:tblPrEx>
          <w:tblCellMar>
            <w:top w:w="0" w:type="dxa"/>
            <w:left w:w="108" w:type="dxa"/>
            <w:bottom w:w="0" w:type="dxa"/>
            <w:right w:w="108" w:type="dxa"/>
          </w:tblCellMar>
        </w:tblPrEx>
        <w:trPr>
          <w:wBefore w:w="0" w:type="dxa"/>
          <w:wAfter w:w="0" w:type="dxa"/>
          <w:trHeight w:val="840"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1</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《张掖市水权收储管理制度》</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已制定</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CESI仿宋-GB2312" w:eastAsia="仿宋_GB2312" w:cs="CESI仿宋-GB2312"/>
                <w:color w:val="000000"/>
                <w:sz w:val="28"/>
                <w:szCs w:val="28"/>
              </w:rPr>
            </w:pPr>
            <w:r>
              <w:rPr>
                <w:rFonts w:hint="eastAsia" w:ascii="仿宋_GB2312" w:hAnsi="CESI仿宋-GB2312" w:eastAsia="仿宋_GB2312" w:cs="CESI仿宋-GB2312"/>
                <w:color w:val="000000"/>
                <w:kern w:val="0"/>
                <w:sz w:val="28"/>
                <w:szCs w:val="28"/>
              </w:rPr>
              <w:t>是</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sz w:val="28"/>
                <w:szCs w:val="28"/>
              </w:rPr>
              <w:t>2026年12月</w:t>
            </w:r>
          </w:p>
        </w:tc>
      </w:tr>
      <w:tr>
        <w:tblPrEx>
          <w:tblCellMar>
            <w:top w:w="0" w:type="dxa"/>
            <w:left w:w="108" w:type="dxa"/>
            <w:bottom w:w="0" w:type="dxa"/>
            <w:right w:w="108" w:type="dxa"/>
          </w:tblCellMar>
        </w:tblPrEx>
        <w:trPr>
          <w:wBefore w:w="0" w:type="dxa"/>
          <w:wAfter w:w="0" w:type="dxa"/>
          <w:trHeight w:val="840"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2</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kern w:val="0"/>
                <w:sz w:val="28"/>
                <w:szCs w:val="28"/>
              </w:rPr>
              <w:t>《张掖市水权交易管理细则》</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已制定</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CESI仿宋-GB2312" w:eastAsia="仿宋_GB2312" w:cs="CESI仿宋-GB2312"/>
                <w:color w:val="000000"/>
                <w:sz w:val="28"/>
                <w:szCs w:val="28"/>
              </w:rPr>
            </w:pPr>
            <w:r>
              <w:rPr>
                <w:rFonts w:hint="eastAsia" w:ascii="仿宋_GB2312" w:hAnsi="CESI仿宋-GB2312" w:eastAsia="仿宋_GB2312" w:cs="CESI仿宋-GB2312"/>
                <w:color w:val="000000"/>
                <w:kern w:val="0"/>
                <w:sz w:val="28"/>
                <w:szCs w:val="28"/>
              </w:rPr>
              <w:t>是</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sz w:val="28"/>
                <w:szCs w:val="28"/>
              </w:rPr>
              <w:t>2026年12月</w:t>
            </w:r>
          </w:p>
        </w:tc>
      </w:tr>
      <w:tr>
        <w:tblPrEx>
          <w:tblCellMar>
            <w:top w:w="0" w:type="dxa"/>
            <w:left w:w="108" w:type="dxa"/>
            <w:bottom w:w="0" w:type="dxa"/>
            <w:right w:w="108" w:type="dxa"/>
          </w:tblCellMar>
        </w:tblPrEx>
        <w:trPr>
          <w:wBefore w:w="0" w:type="dxa"/>
          <w:wAfter w:w="0" w:type="dxa"/>
          <w:trHeight w:val="840"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3</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《张掖市水预算管理办法》</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已制定</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是</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textAlignment w:val="center"/>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rPr>
              <w:t>2026年6月</w:t>
            </w:r>
          </w:p>
        </w:tc>
      </w:tr>
      <w:tr>
        <w:tblPrEx>
          <w:tblCellMar>
            <w:top w:w="0" w:type="dxa"/>
            <w:left w:w="108" w:type="dxa"/>
            <w:bottom w:w="0" w:type="dxa"/>
            <w:right w:w="108" w:type="dxa"/>
          </w:tblCellMar>
        </w:tblPrEx>
        <w:trPr>
          <w:wBefore w:w="0" w:type="dxa"/>
          <w:wAfter w:w="0" w:type="dxa"/>
          <w:trHeight w:val="840"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4</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《张掖市水资源论证管理办法》</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拟制定</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textAlignment w:val="center"/>
              <w:rPr>
                <w:rFonts w:ascii="仿宋_GB2312" w:hAnsi="宋体" w:eastAsia="仿宋_GB2312" w:cs="仿宋_GB2312"/>
                <w:color w:val="000000"/>
                <w:sz w:val="28"/>
                <w:szCs w:val="28"/>
              </w:rPr>
            </w:pPr>
            <w:r>
              <w:rPr>
                <w:rFonts w:hint="eastAsia" w:ascii="仿宋_GB2312" w:hAnsi="宋体" w:eastAsia="仿宋_GB2312" w:cs="仿宋_GB2312"/>
                <w:color w:val="000000"/>
                <w:sz w:val="28"/>
                <w:szCs w:val="28"/>
              </w:rPr>
              <w:t>2026年12月</w:t>
            </w:r>
          </w:p>
        </w:tc>
      </w:tr>
      <w:tr>
        <w:tblPrEx>
          <w:tblCellMar>
            <w:top w:w="0" w:type="dxa"/>
            <w:left w:w="108" w:type="dxa"/>
            <w:bottom w:w="0" w:type="dxa"/>
            <w:right w:w="108" w:type="dxa"/>
          </w:tblCellMar>
        </w:tblPrEx>
        <w:trPr>
          <w:wBefore w:w="0" w:type="dxa"/>
          <w:wAfter w:w="0" w:type="dxa"/>
          <w:trHeight w:val="840" w:hRule="atLeast"/>
          <w:jc w:val="center"/>
        </w:trPr>
        <w:tc>
          <w:tcPr>
            <w:tcW w:w="637" w:type="dxa"/>
            <w:tcBorders>
              <w:top w:val="single" w:color="000000" w:sz="4" w:space="0"/>
              <w:left w:val="single" w:color="000000" w:sz="4" w:space="0"/>
              <w:bottom w:val="single" w:color="000000" w:sz="4" w:space="0"/>
              <w:right w:val="single" w:color="000000" w:sz="4" w:space="0"/>
            </w:tcBorders>
            <w:noWrap/>
            <w:vAlign w:val="center"/>
          </w:tcPr>
          <w:p>
            <w:pPr>
              <w:widowControl/>
              <w:spacing w:line="420" w:lineRule="exact"/>
              <w:jc w:val="center"/>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5</w:t>
            </w:r>
          </w:p>
        </w:tc>
        <w:tc>
          <w:tcPr>
            <w:tcW w:w="411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宋体" w:eastAsia="仿宋_GB2312" w:cs="仿宋_GB2312"/>
                <w:color w:val="000000"/>
                <w:kern w:val="0"/>
                <w:sz w:val="28"/>
                <w:szCs w:val="28"/>
              </w:rPr>
            </w:pPr>
            <w:r>
              <w:rPr>
                <w:rFonts w:hint="eastAsia" w:ascii="仿宋_GB2312" w:hAnsi="宋体" w:eastAsia="仿宋_GB2312" w:cs="仿宋_GB2312"/>
                <w:color w:val="000000"/>
                <w:kern w:val="0"/>
                <w:sz w:val="28"/>
                <w:szCs w:val="28"/>
              </w:rPr>
              <w:t>《张掖市非常规水源开发利用管理办法》</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拟制定</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jc w:val="center"/>
              <w:textAlignment w:val="center"/>
              <w:rPr>
                <w:rFonts w:hint="eastAsia" w:ascii="仿宋_GB2312" w:hAnsi="CESI仿宋-GB2312" w:eastAsia="仿宋_GB2312" w:cs="CESI仿宋-GB2312"/>
                <w:color w:val="000000"/>
                <w:kern w:val="0"/>
                <w:sz w:val="28"/>
                <w:szCs w:val="28"/>
              </w:rPr>
            </w:pPr>
            <w:r>
              <w:rPr>
                <w:rFonts w:hint="eastAsia" w:ascii="仿宋_GB2312" w:hAnsi="CESI仿宋-GB2312" w:eastAsia="仿宋_GB2312" w:cs="CESI仿宋-GB2312"/>
                <w:color w:val="000000"/>
                <w:kern w:val="0"/>
                <w:sz w:val="28"/>
                <w:szCs w:val="28"/>
              </w:rPr>
              <w:t>-</w:t>
            </w:r>
          </w:p>
        </w:tc>
        <w:tc>
          <w:tcPr>
            <w:tcW w:w="184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20" w:lineRule="exact"/>
              <w:textAlignment w:val="center"/>
              <w:rPr>
                <w:rFonts w:hint="eastAsia" w:ascii="仿宋_GB2312" w:hAnsi="宋体" w:eastAsia="仿宋_GB2312" w:cs="仿宋_GB2312"/>
                <w:color w:val="000000"/>
                <w:sz w:val="28"/>
                <w:szCs w:val="28"/>
              </w:rPr>
            </w:pPr>
            <w:r>
              <w:rPr>
                <w:rFonts w:hint="eastAsia" w:ascii="仿宋_GB2312" w:hAnsi="宋体" w:eastAsia="仿宋_GB2312" w:cs="仿宋_GB2312"/>
                <w:color w:val="000000"/>
                <w:sz w:val="28"/>
                <w:szCs w:val="28"/>
              </w:rPr>
              <w:t>2026年12月</w:t>
            </w:r>
          </w:p>
        </w:tc>
      </w:tr>
    </w:tbl>
    <w:p>
      <w:pPr>
        <w:spacing w:line="600" w:lineRule="exact"/>
        <w:ind w:firstLine="640" w:firstLineChars="200"/>
        <w:jc w:val="left"/>
        <w:rPr>
          <w:rFonts w:ascii="黑体" w:hAnsi="黑体" w:eastAsia="黑体" w:cs="仿宋_GB2312"/>
          <w:color w:val="000000"/>
          <w:sz w:val="32"/>
          <w:szCs w:val="32"/>
        </w:rPr>
      </w:pPr>
    </w:p>
    <w:p>
      <w:pPr>
        <w:spacing w:line="600" w:lineRule="exact"/>
        <w:ind w:firstLine="640" w:firstLineChars="200"/>
        <w:rPr>
          <w:rFonts w:hint="eastAsia" w:ascii="仿宋_GB2312" w:eastAsia="仿宋_GB2312"/>
          <w:color w:val="000000"/>
          <w:sz w:val="32"/>
          <w:szCs w:val="32"/>
        </w:rPr>
      </w:pPr>
    </w:p>
    <w:sectPr>
      <w:footerReference r:id="rId3" w:type="default"/>
      <w:footerReference r:id="rId4" w:type="even"/>
      <w:pgSz w:w="11906" w:h="16838"/>
      <w:pgMar w:top="1984" w:right="1531" w:bottom="1757" w:left="1531" w:header="1134" w:footer="130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仿宋-GB2312">
    <w:altName w:val="方正仿宋_GBK"/>
    <w:panose1 w:val="02000500000000000000"/>
    <w:charset w:val="00"/>
    <w:family w:val="auto"/>
    <w:pitch w:val="default"/>
    <w:sig w:usb0="800002AF" w:usb1="084F6CF8" w:usb2="00000010" w:usb3="00000000" w:csb0="0004000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1</w:t>
                          </w:r>
                          <w:r>
                            <w:rPr>
                              <w:rFonts w:hint="eastAsia" w:ascii="宋体" w:hAnsi="宋体" w:cs="宋体"/>
                              <w:sz w:val="28"/>
                              <w:szCs w:val="28"/>
                            </w:rPr>
                            <w:fldChar w:fldCharType="end"/>
                          </w:r>
                          <w:r>
                            <w:rPr>
                              <w:rFonts w:hint="eastAsia" w:ascii="宋体" w:hAnsi="宋体" w:cs="宋体"/>
                              <w:sz w:val="28"/>
                              <w:szCs w:val="28"/>
                            </w:rPr>
                            <w:t>—</w:t>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1</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14</w:t>
    </w:r>
    <w:r>
      <w:rPr>
        <w:rFonts w:ascii="宋体" w:hAnsi="宋体"/>
        <w:sz w:val="28"/>
        <w:szCs w:val="28"/>
      </w:rPr>
      <w:fldChar w:fldCharType="end"/>
    </w:r>
    <w:r>
      <w:rPr>
        <w:rFonts w:hint="eastAsia" w:ascii="宋体" w:hAnsi="宋体"/>
        <w:sz w:val="28"/>
        <w:szCs w:val="28"/>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125"/>
    <w:rsid w:val="000052FB"/>
    <w:rsid w:val="000129D7"/>
    <w:rsid w:val="00016E4D"/>
    <w:rsid w:val="000225C6"/>
    <w:rsid w:val="00031992"/>
    <w:rsid w:val="00041DD4"/>
    <w:rsid w:val="00052659"/>
    <w:rsid w:val="00054DD4"/>
    <w:rsid w:val="00060AE6"/>
    <w:rsid w:val="00063136"/>
    <w:rsid w:val="00063869"/>
    <w:rsid w:val="00074C4A"/>
    <w:rsid w:val="00091D0E"/>
    <w:rsid w:val="00097966"/>
    <w:rsid w:val="000A1060"/>
    <w:rsid w:val="000B32FE"/>
    <w:rsid w:val="000B7AA5"/>
    <w:rsid w:val="000C3D82"/>
    <w:rsid w:val="000C61B5"/>
    <w:rsid w:val="000D16A6"/>
    <w:rsid w:val="000F215E"/>
    <w:rsid w:val="00104252"/>
    <w:rsid w:val="00105536"/>
    <w:rsid w:val="00124020"/>
    <w:rsid w:val="00126A33"/>
    <w:rsid w:val="00133098"/>
    <w:rsid w:val="001341C0"/>
    <w:rsid w:val="0013696A"/>
    <w:rsid w:val="001423A8"/>
    <w:rsid w:val="00143AED"/>
    <w:rsid w:val="001455B4"/>
    <w:rsid w:val="00154787"/>
    <w:rsid w:val="00155CF4"/>
    <w:rsid w:val="001611A9"/>
    <w:rsid w:val="00174BA8"/>
    <w:rsid w:val="00177F0D"/>
    <w:rsid w:val="00191991"/>
    <w:rsid w:val="00197E68"/>
    <w:rsid w:val="001A0FDA"/>
    <w:rsid w:val="001B31CB"/>
    <w:rsid w:val="001B6EBF"/>
    <w:rsid w:val="001C0271"/>
    <w:rsid w:val="001D5D5C"/>
    <w:rsid w:val="001E5DD1"/>
    <w:rsid w:val="001E5E16"/>
    <w:rsid w:val="001E7594"/>
    <w:rsid w:val="001F01B6"/>
    <w:rsid w:val="001F0B28"/>
    <w:rsid w:val="001F4BDA"/>
    <w:rsid w:val="00207B21"/>
    <w:rsid w:val="002102DE"/>
    <w:rsid w:val="00220013"/>
    <w:rsid w:val="00226BF4"/>
    <w:rsid w:val="00236C8F"/>
    <w:rsid w:val="00242357"/>
    <w:rsid w:val="002463A3"/>
    <w:rsid w:val="00260900"/>
    <w:rsid w:val="00261D6F"/>
    <w:rsid w:val="00267DF8"/>
    <w:rsid w:val="002936C6"/>
    <w:rsid w:val="00296030"/>
    <w:rsid w:val="002970C1"/>
    <w:rsid w:val="002A0996"/>
    <w:rsid w:val="002B416D"/>
    <w:rsid w:val="002C4EC0"/>
    <w:rsid w:val="002C7CEB"/>
    <w:rsid w:val="002D3BCD"/>
    <w:rsid w:val="002D42D8"/>
    <w:rsid w:val="00302F57"/>
    <w:rsid w:val="00313E8C"/>
    <w:rsid w:val="00314453"/>
    <w:rsid w:val="00316295"/>
    <w:rsid w:val="00320550"/>
    <w:rsid w:val="0032227A"/>
    <w:rsid w:val="003257C2"/>
    <w:rsid w:val="003268DD"/>
    <w:rsid w:val="00331921"/>
    <w:rsid w:val="0033383F"/>
    <w:rsid w:val="00336376"/>
    <w:rsid w:val="003375DB"/>
    <w:rsid w:val="00341FD1"/>
    <w:rsid w:val="00343112"/>
    <w:rsid w:val="00351326"/>
    <w:rsid w:val="00363C3B"/>
    <w:rsid w:val="0036434E"/>
    <w:rsid w:val="0036546A"/>
    <w:rsid w:val="00365532"/>
    <w:rsid w:val="00380B17"/>
    <w:rsid w:val="00382A09"/>
    <w:rsid w:val="00382D0D"/>
    <w:rsid w:val="00386902"/>
    <w:rsid w:val="003968BF"/>
    <w:rsid w:val="003A0DEE"/>
    <w:rsid w:val="003A3F08"/>
    <w:rsid w:val="003A4C38"/>
    <w:rsid w:val="003D26EF"/>
    <w:rsid w:val="003D4E4E"/>
    <w:rsid w:val="003E4459"/>
    <w:rsid w:val="003E5F83"/>
    <w:rsid w:val="003F748F"/>
    <w:rsid w:val="00400D66"/>
    <w:rsid w:val="00404CD4"/>
    <w:rsid w:val="00407752"/>
    <w:rsid w:val="0041137B"/>
    <w:rsid w:val="004128EA"/>
    <w:rsid w:val="00412B60"/>
    <w:rsid w:val="0042275A"/>
    <w:rsid w:val="00424111"/>
    <w:rsid w:val="00434C5C"/>
    <w:rsid w:val="0044357D"/>
    <w:rsid w:val="00453125"/>
    <w:rsid w:val="00456593"/>
    <w:rsid w:val="0046006B"/>
    <w:rsid w:val="0046028F"/>
    <w:rsid w:val="0046073C"/>
    <w:rsid w:val="0046325E"/>
    <w:rsid w:val="004663F9"/>
    <w:rsid w:val="00485CF7"/>
    <w:rsid w:val="004868C9"/>
    <w:rsid w:val="00490342"/>
    <w:rsid w:val="00493070"/>
    <w:rsid w:val="00497F0A"/>
    <w:rsid w:val="004A0E14"/>
    <w:rsid w:val="004A0EBE"/>
    <w:rsid w:val="004A605E"/>
    <w:rsid w:val="004B4DA0"/>
    <w:rsid w:val="004B7CC9"/>
    <w:rsid w:val="004C5777"/>
    <w:rsid w:val="004E11D2"/>
    <w:rsid w:val="004E14CB"/>
    <w:rsid w:val="004E38C5"/>
    <w:rsid w:val="004E7185"/>
    <w:rsid w:val="004F4FAD"/>
    <w:rsid w:val="00503FBD"/>
    <w:rsid w:val="00505AFB"/>
    <w:rsid w:val="005060E0"/>
    <w:rsid w:val="0051292D"/>
    <w:rsid w:val="00517AB9"/>
    <w:rsid w:val="00520824"/>
    <w:rsid w:val="00525B6F"/>
    <w:rsid w:val="005300EB"/>
    <w:rsid w:val="0053083B"/>
    <w:rsid w:val="0054120F"/>
    <w:rsid w:val="00565BF6"/>
    <w:rsid w:val="0057112A"/>
    <w:rsid w:val="00573A45"/>
    <w:rsid w:val="005761BE"/>
    <w:rsid w:val="00593ED1"/>
    <w:rsid w:val="005A078A"/>
    <w:rsid w:val="005A0ACC"/>
    <w:rsid w:val="005A37B2"/>
    <w:rsid w:val="005A4D40"/>
    <w:rsid w:val="005A6B1B"/>
    <w:rsid w:val="005B45B4"/>
    <w:rsid w:val="005B6D02"/>
    <w:rsid w:val="005C1709"/>
    <w:rsid w:val="005C4A24"/>
    <w:rsid w:val="005C75FE"/>
    <w:rsid w:val="005D1FDA"/>
    <w:rsid w:val="005D4C86"/>
    <w:rsid w:val="005D717D"/>
    <w:rsid w:val="005E09F5"/>
    <w:rsid w:val="005E7F20"/>
    <w:rsid w:val="005F54D4"/>
    <w:rsid w:val="0060358A"/>
    <w:rsid w:val="00615863"/>
    <w:rsid w:val="00620398"/>
    <w:rsid w:val="006216A4"/>
    <w:rsid w:val="00631882"/>
    <w:rsid w:val="006377C0"/>
    <w:rsid w:val="0064004D"/>
    <w:rsid w:val="00644576"/>
    <w:rsid w:val="006479D7"/>
    <w:rsid w:val="006633E4"/>
    <w:rsid w:val="0066369D"/>
    <w:rsid w:val="00670E2F"/>
    <w:rsid w:val="0068251A"/>
    <w:rsid w:val="006972A4"/>
    <w:rsid w:val="006A42E7"/>
    <w:rsid w:val="006A7389"/>
    <w:rsid w:val="006A7A3A"/>
    <w:rsid w:val="006B52AC"/>
    <w:rsid w:val="006B75D5"/>
    <w:rsid w:val="006C003E"/>
    <w:rsid w:val="006D048F"/>
    <w:rsid w:val="006D1605"/>
    <w:rsid w:val="006D2D93"/>
    <w:rsid w:val="006D6023"/>
    <w:rsid w:val="006E44C8"/>
    <w:rsid w:val="006F03B5"/>
    <w:rsid w:val="006F09B0"/>
    <w:rsid w:val="006F132C"/>
    <w:rsid w:val="006F39B7"/>
    <w:rsid w:val="006F46D1"/>
    <w:rsid w:val="006F5F11"/>
    <w:rsid w:val="006F72A3"/>
    <w:rsid w:val="00701503"/>
    <w:rsid w:val="00703498"/>
    <w:rsid w:val="00707035"/>
    <w:rsid w:val="0071356E"/>
    <w:rsid w:val="00724FAF"/>
    <w:rsid w:val="00754F3F"/>
    <w:rsid w:val="00755F68"/>
    <w:rsid w:val="00763610"/>
    <w:rsid w:val="0076454B"/>
    <w:rsid w:val="007659BF"/>
    <w:rsid w:val="007865D3"/>
    <w:rsid w:val="00787DF9"/>
    <w:rsid w:val="00795EAE"/>
    <w:rsid w:val="007A0992"/>
    <w:rsid w:val="007A2BAB"/>
    <w:rsid w:val="007A5EE9"/>
    <w:rsid w:val="007B0BBD"/>
    <w:rsid w:val="007B37CC"/>
    <w:rsid w:val="007B44FB"/>
    <w:rsid w:val="007C0854"/>
    <w:rsid w:val="007C3AC6"/>
    <w:rsid w:val="007D503E"/>
    <w:rsid w:val="007D5BA3"/>
    <w:rsid w:val="007D61CF"/>
    <w:rsid w:val="007F02DF"/>
    <w:rsid w:val="007F13E6"/>
    <w:rsid w:val="00802FFE"/>
    <w:rsid w:val="00804214"/>
    <w:rsid w:val="008062A2"/>
    <w:rsid w:val="0081589E"/>
    <w:rsid w:val="00820EF7"/>
    <w:rsid w:val="008219C2"/>
    <w:rsid w:val="0082286D"/>
    <w:rsid w:val="00851D49"/>
    <w:rsid w:val="00852CAA"/>
    <w:rsid w:val="00856410"/>
    <w:rsid w:val="00865F96"/>
    <w:rsid w:val="00866E7E"/>
    <w:rsid w:val="00870D26"/>
    <w:rsid w:val="008778ED"/>
    <w:rsid w:val="00881AAC"/>
    <w:rsid w:val="0088698E"/>
    <w:rsid w:val="0089145B"/>
    <w:rsid w:val="008923A2"/>
    <w:rsid w:val="008934C4"/>
    <w:rsid w:val="008A1B71"/>
    <w:rsid w:val="008B0462"/>
    <w:rsid w:val="008C3C76"/>
    <w:rsid w:val="008C4120"/>
    <w:rsid w:val="008C4DE3"/>
    <w:rsid w:val="008C7299"/>
    <w:rsid w:val="008E3AC5"/>
    <w:rsid w:val="008E7165"/>
    <w:rsid w:val="008E79A6"/>
    <w:rsid w:val="008F35B5"/>
    <w:rsid w:val="008F4B95"/>
    <w:rsid w:val="008F6E14"/>
    <w:rsid w:val="00914887"/>
    <w:rsid w:val="009211AC"/>
    <w:rsid w:val="00921428"/>
    <w:rsid w:val="00932FE4"/>
    <w:rsid w:val="009373DD"/>
    <w:rsid w:val="0094412C"/>
    <w:rsid w:val="00944393"/>
    <w:rsid w:val="00945F99"/>
    <w:rsid w:val="00946A20"/>
    <w:rsid w:val="009650F5"/>
    <w:rsid w:val="00966850"/>
    <w:rsid w:val="009704E5"/>
    <w:rsid w:val="00970E17"/>
    <w:rsid w:val="00984CF1"/>
    <w:rsid w:val="0098581E"/>
    <w:rsid w:val="009A75CF"/>
    <w:rsid w:val="009A7F85"/>
    <w:rsid w:val="009B335B"/>
    <w:rsid w:val="009B45B5"/>
    <w:rsid w:val="009B466F"/>
    <w:rsid w:val="009B4B3D"/>
    <w:rsid w:val="009B74F9"/>
    <w:rsid w:val="009C3069"/>
    <w:rsid w:val="009D180D"/>
    <w:rsid w:val="009D3573"/>
    <w:rsid w:val="009D53A7"/>
    <w:rsid w:val="009D7E56"/>
    <w:rsid w:val="009E33D7"/>
    <w:rsid w:val="009F63F2"/>
    <w:rsid w:val="009F674A"/>
    <w:rsid w:val="009F6B2F"/>
    <w:rsid w:val="009F7328"/>
    <w:rsid w:val="00A00E55"/>
    <w:rsid w:val="00A02FE4"/>
    <w:rsid w:val="00A07D00"/>
    <w:rsid w:val="00A1008D"/>
    <w:rsid w:val="00A129D7"/>
    <w:rsid w:val="00A12A87"/>
    <w:rsid w:val="00A142AF"/>
    <w:rsid w:val="00A22635"/>
    <w:rsid w:val="00A277D5"/>
    <w:rsid w:val="00A31EF0"/>
    <w:rsid w:val="00A42752"/>
    <w:rsid w:val="00A50782"/>
    <w:rsid w:val="00A564EB"/>
    <w:rsid w:val="00A61147"/>
    <w:rsid w:val="00A624B3"/>
    <w:rsid w:val="00A71620"/>
    <w:rsid w:val="00A7318B"/>
    <w:rsid w:val="00A807C2"/>
    <w:rsid w:val="00A9093A"/>
    <w:rsid w:val="00A94606"/>
    <w:rsid w:val="00A964FA"/>
    <w:rsid w:val="00A970E4"/>
    <w:rsid w:val="00AB5BEC"/>
    <w:rsid w:val="00AB7A9B"/>
    <w:rsid w:val="00AB7E38"/>
    <w:rsid w:val="00AC0A7D"/>
    <w:rsid w:val="00AC12D9"/>
    <w:rsid w:val="00AC290C"/>
    <w:rsid w:val="00AC500A"/>
    <w:rsid w:val="00AC5536"/>
    <w:rsid w:val="00AC771F"/>
    <w:rsid w:val="00AD5CA9"/>
    <w:rsid w:val="00AD65E7"/>
    <w:rsid w:val="00AD6891"/>
    <w:rsid w:val="00AE200A"/>
    <w:rsid w:val="00AE29F0"/>
    <w:rsid w:val="00AE2D69"/>
    <w:rsid w:val="00AF4121"/>
    <w:rsid w:val="00AF4250"/>
    <w:rsid w:val="00B00C66"/>
    <w:rsid w:val="00B14BC1"/>
    <w:rsid w:val="00B163E9"/>
    <w:rsid w:val="00B2474A"/>
    <w:rsid w:val="00B274D7"/>
    <w:rsid w:val="00B31DDD"/>
    <w:rsid w:val="00B32FB3"/>
    <w:rsid w:val="00B34B2E"/>
    <w:rsid w:val="00B41958"/>
    <w:rsid w:val="00B41987"/>
    <w:rsid w:val="00B64895"/>
    <w:rsid w:val="00B6698F"/>
    <w:rsid w:val="00B66F8E"/>
    <w:rsid w:val="00B723AC"/>
    <w:rsid w:val="00B932AC"/>
    <w:rsid w:val="00BA2BB7"/>
    <w:rsid w:val="00BB10BB"/>
    <w:rsid w:val="00BB3B29"/>
    <w:rsid w:val="00BB5B87"/>
    <w:rsid w:val="00BC490B"/>
    <w:rsid w:val="00BD6478"/>
    <w:rsid w:val="00BE0045"/>
    <w:rsid w:val="00BE108C"/>
    <w:rsid w:val="00BE302B"/>
    <w:rsid w:val="00C03092"/>
    <w:rsid w:val="00C03CF9"/>
    <w:rsid w:val="00C06696"/>
    <w:rsid w:val="00C16897"/>
    <w:rsid w:val="00C252DC"/>
    <w:rsid w:val="00C34CF2"/>
    <w:rsid w:val="00C36296"/>
    <w:rsid w:val="00C36BA7"/>
    <w:rsid w:val="00C41AC8"/>
    <w:rsid w:val="00C44E19"/>
    <w:rsid w:val="00C45D5D"/>
    <w:rsid w:val="00C52D71"/>
    <w:rsid w:val="00C555D9"/>
    <w:rsid w:val="00C557C0"/>
    <w:rsid w:val="00C56080"/>
    <w:rsid w:val="00C605B1"/>
    <w:rsid w:val="00C62CE5"/>
    <w:rsid w:val="00C67473"/>
    <w:rsid w:val="00C706E9"/>
    <w:rsid w:val="00C724AC"/>
    <w:rsid w:val="00C748BF"/>
    <w:rsid w:val="00C84A61"/>
    <w:rsid w:val="00C85124"/>
    <w:rsid w:val="00C85589"/>
    <w:rsid w:val="00C86F1A"/>
    <w:rsid w:val="00C8783B"/>
    <w:rsid w:val="00C93CDA"/>
    <w:rsid w:val="00C974F1"/>
    <w:rsid w:val="00CA0F14"/>
    <w:rsid w:val="00CA5632"/>
    <w:rsid w:val="00CA5A90"/>
    <w:rsid w:val="00CB1CDA"/>
    <w:rsid w:val="00CC19C5"/>
    <w:rsid w:val="00CC7BE2"/>
    <w:rsid w:val="00CD21BC"/>
    <w:rsid w:val="00CD3850"/>
    <w:rsid w:val="00CE2383"/>
    <w:rsid w:val="00CE71E9"/>
    <w:rsid w:val="00CF1502"/>
    <w:rsid w:val="00D0001B"/>
    <w:rsid w:val="00D147CA"/>
    <w:rsid w:val="00D1486F"/>
    <w:rsid w:val="00D21F73"/>
    <w:rsid w:val="00D30529"/>
    <w:rsid w:val="00D317BD"/>
    <w:rsid w:val="00D31890"/>
    <w:rsid w:val="00D44B4E"/>
    <w:rsid w:val="00D52019"/>
    <w:rsid w:val="00D66463"/>
    <w:rsid w:val="00D733C0"/>
    <w:rsid w:val="00D776F7"/>
    <w:rsid w:val="00D90097"/>
    <w:rsid w:val="00DA1C94"/>
    <w:rsid w:val="00DA38B4"/>
    <w:rsid w:val="00DA3CBA"/>
    <w:rsid w:val="00DA7CC5"/>
    <w:rsid w:val="00DB032C"/>
    <w:rsid w:val="00DB3ED0"/>
    <w:rsid w:val="00DC442E"/>
    <w:rsid w:val="00DC5627"/>
    <w:rsid w:val="00DE4667"/>
    <w:rsid w:val="00DE75E7"/>
    <w:rsid w:val="00DF7A13"/>
    <w:rsid w:val="00E11C5E"/>
    <w:rsid w:val="00E126BB"/>
    <w:rsid w:val="00E21411"/>
    <w:rsid w:val="00E21848"/>
    <w:rsid w:val="00E22F97"/>
    <w:rsid w:val="00E26356"/>
    <w:rsid w:val="00E32A26"/>
    <w:rsid w:val="00E34127"/>
    <w:rsid w:val="00E3740D"/>
    <w:rsid w:val="00E550C4"/>
    <w:rsid w:val="00E61E2C"/>
    <w:rsid w:val="00E621FE"/>
    <w:rsid w:val="00E6613B"/>
    <w:rsid w:val="00E673C8"/>
    <w:rsid w:val="00E7525C"/>
    <w:rsid w:val="00E77B69"/>
    <w:rsid w:val="00E94191"/>
    <w:rsid w:val="00E94493"/>
    <w:rsid w:val="00EA07DE"/>
    <w:rsid w:val="00EA1553"/>
    <w:rsid w:val="00EA660E"/>
    <w:rsid w:val="00EB2E2B"/>
    <w:rsid w:val="00EC3FF5"/>
    <w:rsid w:val="00ED1319"/>
    <w:rsid w:val="00ED70E2"/>
    <w:rsid w:val="00EE075C"/>
    <w:rsid w:val="00EE47CB"/>
    <w:rsid w:val="00EF437B"/>
    <w:rsid w:val="00F02397"/>
    <w:rsid w:val="00F043F4"/>
    <w:rsid w:val="00F05A96"/>
    <w:rsid w:val="00F06D53"/>
    <w:rsid w:val="00F12DF0"/>
    <w:rsid w:val="00F21DE5"/>
    <w:rsid w:val="00F27DC1"/>
    <w:rsid w:val="00F31543"/>
    <w:rsid w:val="00F357C2"/>
    <w:rsid w:val="00F41AAA"/>
    <w:rsid w:val="00F523AD"/>
    <w:rsid w:val="00F53E4D"/>
    <w:rsid w:val="00F55710"/>
    <w:rsid w:val="00F55E83"/>
    <w:rsid w:val="00F603F5"/>
    <w:rsid w:val="00F65FF5"/>
    <w:rsid w:val="00F66B73"/>
    <w:rsid w:val="00F719DC"/>
    <w:rsid w:val="00F75D4C"/>
    <w:rsid w:val="00F805BE"/>
    <w:rsid w:val="00F875D2"/>
    <w:rsid w:val="00F957A6"/>
    <w:rsid w:val="00F97E37"/>
    <w:rsid w:val="00FA1B83"/>
    <w:rsid w:val="00FB3F08"/>
    <w:rsid w:val="00FC2052"/>
    <w:rsid w:val="00FF5350"/>
    <w:rsid w:val="1FBFA973"/>
    <w:rsid w:val="2AEF2A46"/>
    <w:rsid w:val="4DFD017A"/>
    <w:rsid w:val="693FDABD"/>
    <w:rsid w:val="697F89EF"/>
    <w:rsid w:val="76FF4ABB"/>
    <w:rsid w:val="7703EE06"/>
    <w:rsid w:val="79FF727D"/>
    <w:rsid w:val="7AEF8278"/>
    <w:rsid w:val="7CF7909C"/>
    <w:rsid w:val="7D7B15EF"/>
    <w:rsid w:val="7DB7C5B1"/>
    <w:rsid w:val="7ECBD6F8"/>
    <w:rsid w:val="7FFEC46C"/>
    <w:rsid w:val="7FFF456D"/>
    <w:rsid w:val="9F672D9F"/>
    <w:rsid w:val="B75549E9"/>
    <w:rsid w:val="B7F4D7A8"/>
    <w:rsid w:val="CFAB607E"/>
    <w:rsid w:val="D3FFCF38"/>
    <w:rsid w:val="D57F25BE"/>
    <w:rsid w:val="D6EF6FE0"/>
    <w:rsid w:val="FDBF1D33"/>
    <w:rsid w:val="FDBFAB14"/>
    <w:rsid w:val="FDFBA9F4"/>
    <w:rsid w:val="FF7AEC51"/>
    <w:rsid w:val="FFA7B2EB"/>
    <w:rsid w:val="FFABF682"/>
    <w:rsid w:val="FFFD19C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9"/>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7">
    <w:name w:val="页脚 Char"/>
    <w:basedOn w:val="6"/>
    <w:link w:val="2"/>
    <w:uiPriority w:val="99"/>
    <w:rPr>
      <w:sz w:val="18"/>
      <w:szCs w:val="18"/>
    </w:rPr>
  </w:style>
  <w:style w:type="character" w:customStyle="1" w:styleId="8">
    <w:name w:val="页眉 Char"/>
    <w:basedOn w:val="6"/>
    <w:link w:val="3"/>
    <w:semiHidden/>
    <w:uiPriority w:val="99"/>
    <w:rPr>
      <w:sz w:val="18"/>
      <w:szCs w:val="18"/>
    </w:rPr>
  </w:style>
  <w:style w:type="character" w:customStyle="1" w:styleId="9">
    <w:name w:val="HTML 预设格式 Char"/>
    <w:basedOn w:val="6"/>
    <w:link w:val="4"/>
    <w:semiHidden/>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1093</Words>
  <Characters>6233</Characters>
  <Lines>51</Lines>
  <Paragraphs>14</Paragraphs>
  <TotalTime>9.33333333333333</TotalTime>
  <ScaleCrop>false</ScaleCrop>
  <LinksUpToDate>false</LinksUpToDate>
  <CharactersWithSpaces>7312</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2026-06-06T01:35:00Z</dcterms:created>
  <dc:creator>Administrator</dc:creator>
  <cp:lastModifiedBy>心远终疏</cp:lastModifiedBy>
  <cp:lastPrinted>2026-06-09T15:07:15Z</cp:lastPrinted>
  <dcterms:modified xsi:type="dcterms:W3CDTF">2026-06-09T15:07:39Z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6BC8197A49018E707E63096AA7495D97_42</vt:lpwstr>
  </property>
</Properties>
</file>